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84" w:rsidRDefault="00726D84" w:rsidP="00B854A6">
      <w:pPr>
        <w:spacing w:beforeLines="40"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年伊川县行政服务中心</w:t>
      </w:r>
    </w:p>
    <w:p w:rsidR="00726D84" w:rsidRDefault="00726D84" w:rsidP="00B854A6">
      <w:pPr>
        <w:spacing w:beforeLines="40"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部门预算基本情况说明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一、部门基本情况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（一）部门机构设置、职能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伊川县行政服务中心内设办公室、业务科、督查科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个职能科室。主要职责是：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办公室</w:t>
      </w:r>
    </w:p>
    <w:p w:rsidR="00726D84" w:rsidRDefault="00726D84" w:rsidP="00B854A6">
      <w:pPr>
        <w:widowControl/>
        <w:spacing w:beforeLines="40" w:line="560" w:lineRule="exact"/>
        <w:ind w:firstLine="472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协助领导处理日常工作；负责来文来电处理、综合材料起草和文件印发；负责信息、保密、档案工作；负责会务、接待和文体活动组织；负责印章、车辆、安保、环卫管理；负责办公设备设施维修、办公用品采购及管理；负责党建、党风廉政建设。</w:t>
      </w:r>
    </w:p>
    <w:p w:rsidR="00726D84" w:rsidRDefault="00726D84" w:rsidP="00B854A6">
      <w:pPr>
        <w:widowControl/>
        <w:spacing w:beforeLines="40" w:line="560" w:lineRule="exact"/>
        <w:ind w:firstLine="4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、业务科</w:t>
      </w:r>
    </w:p>
    <w:p w:rsidR="00726D84" w:rsidRDefault="00726D84" w:rsidP="002F696D">
      <w:pPr>
        <w:widowControl/>
        <w:spacing w:beforeLines="40" w:line="560" w:lineRule="exact"/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负责审批服务改革调查研究、分析建议和运行机制的优化、创新；负责审批服务事项清理、进驻及动态管理；负责审批服务工作制度建设、规范指导和联系协调；负责审批服务收费管理；牵头负责县、镇（办事处）、村三级政务服务体系建设的业务指导及培训。</w:t>
      </w:r>
    </w:p>
    <w:p w:rsidR="00726D84" w:rsidRDefault="00726D84" w:rsidP="00B854A6">
      <w:pPr>
        <w:widowControl/>
        <w:spacing w:beforeLines="40" w:line="560" w:lineRule="exact"/>
        <w:ind w:firstLine="4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、督查科</w:t>
      </w:r>
    </w:p>
    <w:p w:rsidR="00726D84" w:rsidRDefault="00726D84" w:rsidP="00B854A6">
      <w:pPr>
        <w:widowControl/>
        <w:spacing w:beforeLines="40" w:line="560" w:lineRule="exact"/>
        <w:ind w:firstLine="47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督促检查中心相关工作制度、管理制度的执行情况；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负责网上行政审批系统的运行维护、安全保障、数据管理及操作培训；负责网审系统项目库的修订完善；负责本单位网站及网络维护；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负责对窗口及其工作人员的日常考勤考核和抽查工作；负责接受服务对象的投诉、举报，并做好落实反馈工作；</w:t>
      </w:r>
      <w:r>
        <w:rPr>
          <w:rFonts w:ascii="仿宋" w:eastAsia="仿宋" w:hAnsi="仿宋" w:cs="仿宋" w:hint="eastAsia"/>
          <w:sz w:val="32"/>
          <w:szCs w:val="32"/>
        </w:rPr>
        <w:t>负责对三级服务体系内的部门、镇乡街道审批服务工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作进行监督检查和绩效考核。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（二）人员构成情况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伊川县行政服务中心现有编制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人，在职职工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人。（进驻单位</w:t>
      </w:r>
      <w:r>
        <w:rPr>
          <w:rFonts w:ascii="仿宋" w:eastAsia="仿宋" w:hAnsi="仿宋" w:cs="仿宋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个，窗口工作人员</w:t>
      </w:r>
      <w:r>
        <w:rPr>
          <w:rFonts w:ascii="仿宋" w:eastAsia="仿宋" w:hAnsi="仿宋" w:cs="仿宋"/>
          <w:sz w:val="32"/>
          <w:szCs w:val="32"/>
        </w:rPr>
        <w:t>135</w:t>
      </w:r>
      <w:r>
        <w:rPr>
          <w:rFonts w:ascii="仿宋" w:eastAsia="仿宋" w:hAnsi="仿宋" w:cs="仿宋" w:hint="eastAsia"/>
          <w:sz w:val="32"/>
          <w:szCs w:val="32"/>
        </w:rPr>
        <w:t>个）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（三）预算年度主要工作任务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深入学习贯彻党的十九大会议精神，学习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习近平总书记系列讲话精神，不断增强“四个意识”，坚定“四个自信”，进一步健全财政体制、预算制度和税收制度，围绕中心，服务大局。“中心”以公开、公正为原则，以精细、规范、高效为宗旨，</w:t>
      </w:r>
      <w:r>
        <w:rPr>
          <w:rFonts w:ascii="仿宋" w:eastAsia="仿宋" w:hAnsi="仿宋" w:cs="仿宋" w:hint="eastAsia"/>
          <w:sz w:val="32"/>
          <w:szCs w:val="32"/>
        </w:rPr>
        <w:t>按照“一窗受理、受审分离、限时办结”的新模式运行，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不断提高办事效率，优化经济发展环境。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二、收入预算说明</w:t>
      </w:r>
      <w:bookmarkStart w:id="0" w:name="_GoBack"/>
      <w:bookmarkEnd w:id="0"/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/>
          <w:color w:val="222222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年收入预算</w:t>
      </w:r>
      <w:r>
        <w:rPr>
          <w:rFonts w:ascii="仿宋" w:eastAsia="仿宋" w:hAnsi="仿宋" w:cs="仿宋"/>
          <w:color w:val="222222"/>
          <w:sz w:val="32"/>
          <w:szCs w:val="32"/>
        </w:rPr>
        <w:t>574.34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万元，其中财政一般拨款</w:t>
      </w:r>
      <w:r>
        <w:rPr>
          <w:rFonts w:ascii="仿宋" w:eastAsia="仿宋" w:hAnsi="仿宋" w:cs="仿宋"/>
          <w:color w:val="222222"/>
          <w:sz w:val="32"/>
          <w:szCs w:val="32"/>
        </w:rPr>
        <w:t>574.34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三、支出预算说明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/>
          <w:color w:val="222222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年支出预算</w:t>
      </w:r>
      <w:r>
        <w:rPr>
          <w:rFonts w:ascii="仿宋" w:eastAsia="仿宋" w:hAnsi="仿宋" w:cs="仿宋"/>
          <w:color w:val="222222"/>
          <w:sz w:val="32"/>
          <w:szCs w:val="32"/>
        </w:rPr>
        <w:t>574.34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万元，其中：工资福利支出</w:t>
      </w:r>
      <w:r>
        <w:rPr>
          <w:rFonts w:ascii="仿宋" w:eastAsia="仿宋" w:hAnsi="仿宋" w:cs="仿宋"/>
          <w:color w:val="222222"/>
          <w:sz w:val="32"/>
          <w:szCs w:val="32"/>
        </w:rPr>
        <w:t>524.11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万元，商品和服务支出</w:t>
      </w:r>
      <w:r>
        <w:rPr>
          <w:rFonts w:ascii="仿宋" w:eastAsia="仿宋" w:hAnsi="仿宋" w:cs="仿宋"/>
          <w:color w:val="222222"/>
          <w:sz w:val="32"/>
          <w:szCs w:val="32"/>
        </w:rPr>
        <w:t>2.22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万元，专项资金</w:t>
      </w:r>
      <w:r>
        <w:rPr>
          <w:rFonts w:ascii="仿宋" w:eastAsia="仿宋" w:hAnsi="仿宋" w:cs="仿宋"/>
          <w:color w:val="222222"/>
          <w:sz w:val="32"/>
          <w:szCs w:val="32"/>
        </w:rPr>
        <w:t>48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/>
          <w:color w:val="222222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年支出预算按用途划分：工资福利支出</w:t>
      </w:r>
      <w:r>
        <w:rPr>
          <w:rFonts w:ascii="仿宋" w:eastAsia="仿宋" w:hAnsi="仿宋" w:cs="仿宋"/>
          <w:color w:val="222222"/>
          <w:sz w:val="32"/>
          <w:szCs w:val="32"/>
        </w:rPr>
        <w:t>524.11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万元，占</w:t>
      </w:r>
      <w:r>
        <w:rPr>
          <w:rFonts w:ascii="仿宋" w:eastAsia="仿宋" w:hAnsi="仿宋" w:cs="仿宋"/>
          <w:color w:val="222222"/>
          <w:sz w:val="32"/>
          <w:szCs w:val="32"/>
        </w:rPr>
        <w:t>91%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，商品和服务支出</w:t>
      </w:r>
      <w:r>
        <w:rPr>
          <w:rFonts w:ascii="仿宋" w:eastAsia="仿宋" w:hAnsi="仿宋" w:cs="仿宋"/>
          <w:color w:val="222222"/>
          <w:sz w:val="32"/>
          <w:szCs w:val="32"/>
        </w:rPr>
        <w:t>2.22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万元，占</w:t>
      </w:r>
      <w:r>
        <w:rPr>
          <w:rFonts w:ascii="仿宋" w:eastAsia="仿宋" w:hAnsi="仿宋" w:cs="仿宋"/>
          <w:color w:val="222222"/>
          <w:sz w:val="32"/>
          <w:szCs w:val="32"/>
        </w:rPr>
        <w:t>0.6%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，专项资金</w:t>
      </w:r>
      <w:r>
        <w:rPr>
          <w:rFonts w:ascii="仿宋" w:eastAsia="仿宋" w:hAnsi="仿宋" w:cs="仿宋"/>
          <w:color w:val="222222"/>
          <w:sz w:val="32"/>
          <w:szCs w:val="32"/>
        </w:rPr>
        <w:t>48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万元，占</w:t>
      </w:r>
      <w:r>
        <w:rPr>
          <w:rFonts w:ascii="仿宋" w:eastAsia="仿宋" w:hAnsi="仿宋" w:cs="仿宋"/>
          <w:color w:val="222222"/>
          <w:sz w:val="32"/>
          <w:szCs w:val="32"/>
        </w:rPr>
        <w:t>8.4%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四、“三公”经费说明及增减变化原因</w:t>
      </w:r>
    </w:p>
    <w:p w:rsidR="00726D84" w:rsidRDefault="00726D84" w:rsidP="002F696D">
      <w:pPr>
        <w:spacing w:beforeLines="40" w:line="560" w:lineRule="exact"/>
        <w:ind w:firstLineChars="4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年“三公”经费预算</w:t>
      </w:r>
      <w:r>
        <w:rPr>
          <w:rFonts w:ascii="仿宋" w:eastAsia="仿宋" w:hAnsi="仿宋" w:cs="仿宋"/>
          <w:sz w:val="32"/>
          <w:szCs w:val="32"/>
        </w:rPr>
        <w:t>2.6</w:t>
      </w:r>
      <w:r>
        <w:rPr>
          <w:rFonts w:ascii="仿宋" w:eastAsia="仿宋" w:hAnsi="仿宋" w:cs="仿宋" w:hint="eastAsia"/>
          <w:sz w:val="32"/>
          <w:szCs w:val="32"/>
        </w:rPr>
        <w:t>万元。无因公出国（境）费用、公务接待费用预算；公务用车购置和运行费预算为</w:t>
      </w:r>
      <w:r>
        <w:rPr>
          <w:rFonts w:ascii="仿宋" w:eastAsia="仿宋" w:hAnsi="仿宋" w:cs="仿宋"/>
          <w:sz w:val="32"/>
          <w:szCs w:val="32"/>
        </w:rPr>
        <w:t>2.6</w:t>
      </w:r>
      <w:r>
        <w:rPr>
          <w:rFonts w:ascii="仿宋" w:eastAsia="仿宋" w:hAnsi="仿宋" w:cs="仿宋" w:hint="eastAsia"/>
          <w:sz w:val="32"/>
          <w:szCs w:val="32"/>
        </w:rPr>
        <w:t>万，全部为公务用车运行费用预算，无公务用车购置费预算。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年“三公”经费预算与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年相比降低。公务用车运行费预算从</w:t>
      </w:r>
      <w:r>
        <w:rPr>
          <w:rFonts w:ascii="仿宋" w:eastAsia="仿宋" w:hAnsi="仿宋" w:cs="仿宋"/>
          <w:sz w:val="32"/>
          <w:szCs w:val="32"/>
        </w:rPr>
        <w:t>2.6</w:t>
      </w:r>
      <w:r>
        <w:rPr>
          <w:rFonts w:ascii="仿宋" w:eastAsia="仿宋" w:hAnsi="仿宋" w:cs="仿宋" w:hint="eastAsia"/>
          <w:sz w:val="32"/>
          <w:szCs w:val="32"/>
        </w:rPr>
        <w:t>万元下降为</w:t>
      </w:r>
      <w:r>
        <w:rPr>
          <w:rFonts w:ascii="仿宋" w:eastAsia="仿宋" w:hAnsi="仿宋" w:cs="仿宋"/>
          <w:sz w:val="32"/>
          <w:szCs w:val="32"/>
        </w:rPr>
        <w:t>2.5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>
        <w:rPr>
          <w:rFonts w:ascii="仿宋" w:eastAsia="仿宋" w:hAnsi="仿宋" w:cs="仿宋"/>
          <w:sz w:val="32"/>
          <w:szCs w:val="32"/>
        </w:rPr>
        <w:t>3.8%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726D84" w:rsidRDefault="00726D84" w:rsidP="002F696D">
      <w:pPr>
        <w:spacing w:beforeLines="40" w:line="560" w:lineRule="exact"/>
        <w:ind w:firstLineChars="200" w:firstLine="316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伊川县行政服务中心</w:t>
      </w:r>
    </w:p>
    <w:p w:rsidR="00726D84" w:rsidRDefault="00726D84" w:rsidP="00DF0F26">
      <w:pPr>
        <w:spacing w:beforeLines="40" w:line="560" w:lineRule="exact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26D84" w:rsidSect="00972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84" w:rsidRDefault="00726D84">
      <w:r>
        <w:separator/>
      </w:r>
    </w:p>
  </w:endnote>
  <w:endnote w:type="continuationSeparator" w:id="0">
    <w:p w:rsidR="00726D84" w:rsidRDefault="0072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84" w:rsidRDefault="00726D84">
      <w:r>
        <w:separator/>
      </w:r>
    </w:p>
  </w:footnote>
  <w:footnote w:type="continuationSeparator" w:id="0">
    <w:p w:rsidR="00726D84" w:rsidRDefault="0072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 w:rsidP="002F696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84" w:rsidRDefault="00726D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95"/>
    <w:rsid w:val="002F696D"/>
    <w:rsid w:val="00726D84"/>
    <w:rsid w:val="00972C95"/>
    <w:rsid w:val="00B854A6"/>
    <w:rsid w:val="00DF0F26"/>
    <w:rsid w:val="47B920C4"/>
    <w:rsid w:val="63BA74D5"/>
    <w:rsid w:val="6CC208D4"/>
    <w:rsid w:val="7929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9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214F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F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214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null,null,总收发</cp:lastModifiedBy>
  <cp:revision>2</cp:revision>
  <cp:lastPrinted>2018-05-10T10:12:00Z</cp:lastPrinted>
  <dcterms:created xsi:type="dcterms:W3CDTF">2014-10-29T12:08:00Z</dcterms:created>
  <dcterms:modified xsi:type="dcterms:W3CDTF">2018-05-11T04:02:00Z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