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2024年第三批衔接推进乡村振兴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资金暨收回互助资金的通知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w:t>
      </w:r>
      <w:r>
        <w:rPr>
          <w:rFonts w:hint="eastAsia" w:ascii="仿宋_GB2312" w:hAnsi="仿宋_GB2312" w:eastAsia="仿宋_GB2312" w:cs="仿宋_GB2312"/>
          <w:b/>
          <w:bCs/>
          <w:sz w:val="32"/>
          <w:szCs w:val="32"/>
          <w:lang w:eastAsia="zh-CN"/>
        </w:rPr>
        <w:t>乡村振兴局、</w:t>
      </w:r>
      <w:r>
        <w:rPr>
          <w:rFonts w:hint="eastAsia" w:ascii="仿宋_GB2312" w:hAnsi="仿宋_GB2312" w:eastAsia="仿宋_GB2312" w:cs="仿宋_GB2312"/>
          <w:b/>
          <w:bCs/>
          <w:sz w:val="32"/>
          <w:szCs w:val="32"/>
          <w:lang w:eastAsia="zh-CN"/>
        </w:rPr>
        <w:t>组织部、</w:t>
      </w:r>
      <w:r>
        <w:rPr>
          <w:rFonts w:hint="eastAsia" w:ascii="仿宋_GB2312" w:hAnsi="仿宋_GB2312" w:eastAsia="仿宋_GB2312" w:cs="仿宋_GB2312"/>
          <w:b/>
          <w:bCs/>
          <w:sz w:val="32"/>
          <w:szCs w:val="32"/>
          <w:lang w:eastAsia="zh-CN"/>
        </w:rPr>
        <w:t>农业农村局、平等乡、吕店镇、高山镇、鸣皋镇、江左镇、城关街道办</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2024年伊川县平等乡龙王屯村宋店村西村莘营村联合建设禽畜交易与肉羊屠宰厂村集体经济发展等项目立项暨资金分配意见的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伊川县鸣皋镇东叶寨等村互助资金的批复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伊川县平等乡龙王屯村宋店村西村莘营村联合建设禽畜交易与肉羊屠宰厂村集体经济发展等项目资金1188.5万元予以下达；</w:t>
      </w:r>
      <w:r>
        <w:rPr>
          <w:rFonts w:hint="eastAsia" w:ascii="仿宋_GB2312" w:hAnsi="仿宋_GB2312" w:eastAsia="仿宋_GB2312" w:cs="仿宋_GB2312"/>
          <w:color w:val="000000"/>
          <w:sz w:val="32"/>
          <w:szCs w:val="32"/>
          <w:lang w:val="en-US" w:eastAsia="zh-CN"/>
        </w:rPr>
        <w:t>鸣皋镇东叶寨等村互助金4万元予以收回，</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伊川县平等乡龙王屯村宋店村西村莘营村联合建设禽畜交易与肉羊屠宰厂村集体经济发展等项目资金1188.5万元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二、收回</w:t>
      </w:r>
      <w:r>
        <w:rPr>
          <w:rFonts w:hint="eastAsia" w:ascii="仿宋_GB2312" w:hAnsi="仿宋_GB2312" w:eastAsia="仿宋_GB2312" w:cs="仿宋_GB2312"/>
          <w:color w:val="000000"/>
          <w:sz w:val="32"/>
          <w:szCs w:val="32"/>
          <w:lang w:val="en-US" w:eastAsia="zh-CN"/>
        </w:rPr>
        <w:t>鸣皋镇东叶寨村互助金</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lang w:val="en-US" w:eastAsia="zh-CN"/>
        </w:rPr>
        <w:t>江左镇魏村互助金</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、城关街道</w:t>
      </w:r>
      <w:r>
        <w:rPr>
          <w:rFonts w:hint="eastAsia" w:ascii="仿宋_GB2312" w:hAnsi="仿宋_GB2312" w:eastAsia="仿宋_GB2312" w:cs="仿宋_GB2312"/>
          <w:color w:val="000000"/>
          <w:sz w:val="32"/>
          <w:szCs w:val="32"/>
          <w:lang w:val="en-US" w:eastAsia="zh-CN"/>
        </w:rPr>
        <w:t>三龙口社区互助金</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万元</w:t>
      </w:r>
      <w:r>
        <w:rPr>
          <w:rFonts w:hint="eastAsia" w:ascii="仿宋_GB2312" w:hAnsi="仿宋_GB2312" w:eastAsia="仿宋_GB2312" w:cs="仿宋_GB2312"/>
          <w:spacing w:val="-6"/>
          <w:sz w:val="32"/>
          <w:szCs w:val="32"/>
          <w:lang w:val="en-US" w:eastAsia="zh-CN"/>
        </w:rPr>
        <w:t>（详见附件2）</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乡村振兴局、组织部、农业农村局、平等乡、吕店镇、高山镇、鸣皋镇、江左镇、城关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伊川县2024年第二批衔接推进乡村振兴资金分配表</w:t>
      </w:r>
      <w:r>
        <w:rPr>
          <w:rFonts w:hint="eastAsia" w:ascii="仿宋_GB2312" w:hAnsi="仿宋_GB2312" w:eastAsia="仿宋_GB2312" w:cs="仿宋_GB2312"/>
          <w:b w:val="0"/>
          <w:bCs/>
          <w:spacing w:val="-6"/>
          <w:sz w:val="32"/>
          <w:szCs w:val="32"/>
          <w:lang w:val="en-US" w:eastAsia="zh-CN"/>
        </w:rPr>
        <w:t xml:space="preserve">          </w:t>
      </w:r>
    </w:p>
    <w:p>
      <w:pPr>
        <w:widowControl w:val="0"/>
        <w:wordWrap/>
        <w:adjustRightInd/>
        <w:snapToGrid/>
        <w:spacing w:line="580" w:lineRule="exact"/>
        <w:ind w:firstLine="308" w:firstLineChars="1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color w:val="000000"/>
          <w:sz w:val="32"/>
          <w:szCs w:val="32"/>
          <w:lang w:val="en-US" w:eastAsia="zh-CN"/>
        </w:rPr>
        <w:t>鸣皋镇东叶寨等村互助资金收回明细表</w:t>
      </w: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8E016B9"/>
    <w:rsid w:val="099B3D15"/>
    <w:rsid w:val="0A7902E7"/>
    <w:rsid w:val="0A886720"/>
    <w:rsid w:val="0A9355ED"/>
    <w:rsid w:val="0A9633BE"/>
    <w:rsid w:val="0AFF4C34"/>
    <w:rsid w:val="0B1F04F1"/>
    <w:rsid w:val="0B4618E4"/>
    <w:rsid w:val="0C281F69"/>
    <w:rsid w:val="0C830617"/>
    <w:rsid w:val="0CBA589A"/>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E64E17"/>
    <w:rsid w:val="21E94751"/>
    <w:rsid w:val="224F429B"/>
    <w:rsid w:val="229121BE"/>
    <w:rsid w:val="22CB61C5"/>
    <w:rsid w:val="23067BC1"/>
    <w:rsid w:val="239105D5"/>
    <w:rsid w:val="23D30843"/>
    <w:rsid w:val="24763D61"/>
    <w:rsid w:val="24E414CB"/>
    <w:rsid w:val="24ED38F7"/>
    <w:rsid w:val="255E166E"/>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3">
    <w:name w:val="Body Text First Indent"/>
    <w:basedOn w:val="3"/>
    <w:next w:val="14"/>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autoRedefine/>
    <w:qFormat/>
    <w:uiPriority w:val="0"/>
    <w:pPr>
      <w:ind w:firstLine="420" w:firstLineChars="200"/>
    </w:pPr>
  </w:style>
  <w:style w:type="paragraph" w:customStyle="1" w:styleId="15">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10"/>
    <w:link w:val="7"/>
    <w:autoRedefine/>
    <w:qFormat/>
    <w:uiPriority w:val="99"/>
    <w:rPr>
      <w:rFonts w:ascii="Calibri" w:hAnsi="Calibri" w:eastAsia="宋体" w:cs="Times New Roman"/>
      <w:kern w:val="2"/>
      <w:sz w:val="18"/>
      <w:szCs w:val="18"/>
    </w:rPr>
  </w:style>
  <w:style w:type="character" w:customStyle="1" w:styleId="21">
    <w:name w:val="页脚 字符"/>
    <w:basedOn w:val="10"/>
    <w:link w:val="6"/>
    <w:autoRedefine/>
    <w:semiHidden/>
    <w:qFormat/>
    <w:uiPriority w:val="99"/>
    <w:rPr>
      <w:rFonts w:ascii="Calibri" w:hAnsi="Calibri" w:eastAsia="宋体" w:cs="Times New Roman"/>
      <w:kern w:val="2"/>
      <w:sz w:val="18"/>
      <w:szCs w:val="18"/>
    </w:rPr>
  </w:style>
  <w:style w:type="character" w:customStyle="1" w:styleId="22">
    <w:name w:val="批注框文本 字符"/>
    <w:basedOn w:val="10"/>
    <w:link w:val="5"/>
    <w:autoRedefine/>
    <w:semiHidden/>
    <w:qFormat/>
    <w:uiPriority w:val="99"/>
    <w:rPr>
      <w:rFonts w:ascii="Calibri" w:hAnsi="Calibri"/>
      <w:kern w:val="2"/>
      <w:sz w:val="18"/>
      <w:szCs w:val="18"/>
    </w:rPr>
  </w:style>
  <w:style w:type="character" w:customStyle="1" w:styleId="23">
    <w:name w:val="日期 字符"/>
    <w:basedOn w:val="10"/>
    <w:link w:val="4"/>
    <w:autoRedefine/>
    <w:semiHidden/>
    <w:qFormat/>
    <w:uiPriority w:val="99"/>
    <w:rPr>
      <w:rFonts w:ascii="Calibri" w:hAnsi="Calibri"/>
      <w:kern w:val="2"/>
      <w:sz w:val="21"/>
      <w:szCs w:val="22"/>
    </w:rPr>
  </w:style>
  <w:style w:type="character" w:customStyle="1" w:styleId="24">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857</Words>
  <Characters>967</Characters>
  <Lines>12</Lines>
  <Paragraphs>3</Paragraphs>
  <TotalTime>6</TotalTime>
  <ScaleCrop>false</ScaleCrop>
  <LinksUpToDate>false</LinksUpToDate>
  <CharactersWithSpaces>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2024-05-20T03:00:17Z</cp:lastPrinted>
  <dcterms:modified xsi:type="dcterms:W3CDTF">2024-05-20T03:01:20Z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297419A02B534DD09CD07901B2D3F501_13</vt:lpwstr>
  </property>
</Properties>
</file>