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lang w:val="en-US" w:eastAsia="zh-CN"/>
        </w:rPr>
        <w:t>伊川县</w:t>
      </w:r>
      <w:r>
        <w:rPr>
          <w:rFonts w:ascii="Times New Roman" w:hAnsi="Times New Roman" w:eastAsia="方正小标宋简体"/>
          <w:sz w:val="44"/>
          <w:szCs w:val="44"/>
        </w:rPr>
        <w:t>烟草制品零售点合理布局规</w:t>
      </w:r>
      <w:r>
        <w:rPr>
          <w:rFonts w:hint="eastAsia" w:ascii="Times New Roman" w:hAnsi="Times New Roman" w:eastAsia="方正小标宋简体"/>
          <w:sz w:val="44"/>
          <w:szCs w:val="44"/>
          <w:lang w:eastAsia="zh-CN"/>
        </w:rPr>
        <w:t>定（征求意见稿）</w:t>
      </w:r>
    </w:p>
    <w:p>
      <w:pPr>
        <w:widowControl/>
        <w:spacing w:line="580" w:lineRule="exact"/>
        <w:ind w:firstLine="640" w:firstLineChars="200"/>
        <w:rPr>
          <w:rFonts w:ascii="Times New Roman" w:hAnsi="Times New Roman" w:eastAsia="仿宋"/>
          <w:kern w:val="0"/>
          <w:sz w:val="32"/>
          <w:szCs w:val="32"/>
          <w:shd w:val="clear" w:color="auto" w:fill="FFFFFF"/>
        </w:rPr>
      </w:pPr>
    </w:p>
    <w:p>
      <w:pPr>
        <w:spacing w:line="580" w:lineRule="exact"/>
        <w:jc w:val="center"/>
        <w:rPr>
          <w:rFonts w:ascii="Times New Roman" w:hAnsi="Times New Roman" w:eastAsia="仿宋_GB2312"/>
          <w:kern w:val="0"/>
          <w:sz w:val="32"/>
          <w:szCs w:val="32"/>
          <w:shd w:val="clear" w:color="auto" w:fill="FFFFFF"/>
        </w:rPr>
      </w:pPr>
      <w:r>
        <w:rPr>
          <w:rFonts w:ascii="Times New Roman" w:hAnsi="Times New Roman" w:eastAsia="黑体"/>
          <w:kern w:val="0"/>
          <w:sz w:val="32"/>
          <w:szCs w:val="32"/>
          <w:shd w:val="clear" w:color="auto" w:fill="FFFFFF"/>
        </w:rPr>
        <w:t>第一章  总  则</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sz w:val="32"/>
          <w:szCs w:val="32"/>
        </w:rPr>
      </w:pPr>
      <w:r>
        <w:rPr>
          <w:rFonts w:ascii="Times New Roman" w:hAnsi="Times New Roman" w:eastAsia="楷体_GB2312"/>
          <w:bCs/>
          <w:kern w:val="0"/>
          <w:sz w:val="32"/>
          <w:szCs w:val="32"/>
          <w:shd w:val="clear" w:color="auto" w:fill="FFFFFF"/>
        </w:rPr>
        <w:t>第一条</w:t>
      </w:r>
      <w:r>
        <w:rPr>
          <w:rFonts w:ascii="Times New Roman" w:hAnsi="Times New Roman" w:eastAsia="仿宋_GB2312"/>
          <w:bCs/>
          <w:kern w:val="0"/>
          <w:sz w:val="32"/>
          <w:szCs w:val="32"/>
          <w:shd w:val="clear" w:color="auto" w:fill="FFFFFF"/>
        </w:rPr>
        <w:t xml:space="preserve"> </w:t>
      </w:r>
      <w:r>
        <w:rPr>
          <w:rFonts w:ascii="Times New Roman" w:hAnsi="Times New Roman" w:eastAsia="仿宋_GB2312"/>
          <w:kern w:val="0"/>
          <w:sz w:val="32"/>
          <w:szCs w:val="32"/>
          <w:shd w:val="clear" w:color="auto" w:fill="FFFFFF"/>
        </w:rPr>
        <w:t>为规范烟草制品零售市场经营秩序，维护国家利益、消费者利益和消费者的合法权益，加强烟草专卖零售许可证的管理，促进烟草市场健康发展，保护未成年人权益，根据《中华人民共和国烟草专卖法》《中华人民共和国行政许可法》《中华人民共和国未成年人保护法》《中华人民共和国烟草专卖法实施条例》《烟草专卖许可证管理办法》《烟草专卖许可证管理办法实施细则》《完善烟草专卖零售许可管理优化政务服务工作指引》等法律、法规、规章和规范性文件的规定，结合本辖区实际，制订本规</w:t>
      </w:r>
      <w:r>
        <w:rPr>
          <w:rFonts w:hint="eastAsia" w:ascii="Times New Roman" w:hAnsi="Times New Roman" w:eastAsia="仿宋_GB2312"/>
          <w:kern w:val="0"/>
          <w:sz w:val="32"/>
          <w:szCs w:val="32"/>
          <w:shd w:val="clear" w:color="auto" w:fill="FFFFFF"/>
          <w:lang w:eastAsia="zh-CN"/>
        </w:rPr>
        <w:t>定</w:t>
      </w:r>
      <w:r>
        <w:rPr>
          <w:rFonts w:ascii="Times New Roman" w:hAnsi="Times New Roman" w:eastAsia="仿宋_GB2312"/>
          <w:kern w:val="0"/>
          <w:sz w:val="32"/>
          <w:szCs w:val="32"/>
          <w:shd w:val="clear" w:color="auto" w:fill="FFFFFF"/>
        </w:rPr>
        <w:t>。</w:t>
      </w:r>
    </w:p>
    <w:p>
      <w:pPr>
        <w:pStyle w:val="2"/>
        <w:keepNext w:val="0"/>
        <w:keepLines w:val="0"/>
        <w:pageBreakBefore w:val="0"/>
        <w:kinsoku/>
        <w:wordWrap/>
        <w:overflowPunct/>
        <w:topLinePunct w:val="0"/>
        <w:autoSpaceDE/>
        <w:autoSpaceDN/>
        <w:bidi w:val="0"/>
        <w:adjustRightInd/>
        <w:snapToGrid/>
        <w:spacing w:after="0" w:line="580" w:lineRule="exact"/>
        <w:ind w:firstLine="640" w:firstLineChars="200"/>
        <w:jc w:val="left"/>
        <w:textAlignment w:val="auto"/>
        <w:rPr>
          <w:rFonts w:ascii="Times New Roman" w:hAnsi="Times New Roman" w:eastAsia="仿宋_GB2312"/>
          <w:kern w:val="0"/>
          <w:sz w:val="32"/>
          <w:szCs w:val="32"/>
          <w:shd w:val="clear" w:color="auto" w:fill="FFFFFF"/>
        </w:rPr>
      </w:pPr>
      <w:r>
        <w:rPr>
          <w:rFonts w:ascii="Times New Roman" w:hAnsi="Times New Roman" w:eastAsia="楷体_GB2312"/>
          <w:bCs/>
          <w:kern w:val="0"/>
          <w:sz w:val="32"/>
          <w:szCs w:val="32"/>
          <w:shd w:val="clear" w:color="auto" w:fill="FFFFFF"/>
        </w:rPr>
        <w:t>第二条</w:t>
      </w:r>
      <w:r>
        <w:rPr>
          <w:rFonts w:ascii="Times New Roman" w:hAnsi="Times New Roman" w:eastAsia="仿宋_GB2312"/>
          <w:bCs/>
          <w:kern w:val="0"/>
          <w:sz w:val="32"/>
          <w:szCs w:val="32"/>
          <w:shd w:val="clear" w:color="auto" w:fill="FFFFFF"/>
        </w:rPr>
        <w:t xml:space="preserve"> </w:t>
      </w:r>
      <w:r>
        <w:rPr>
          <w:rFonts w:ascii="Times New Roman" w:hAnsi="Times New Roman" w:eastAsia="仿宋_GB2312"/>
          <w:kern w:val="0"/>
          <w:sz w:val="32"/>
          <w:szCs w:val="32"/>
          <w:shd w:val="clear" w:color="auto" w:fill="FFFFFF"/>
        </w:rPr>
        <w:t>本规</w:t>
      </w:r>
      <w:r>
        <w:rPr>
          <w:rFonts w:hint="eastAsia" w:ascii="Times New Roman" w:hAnsi="Times New Roman" w:eastAsia="仿宋_GB2312"/>
          <w:kern w:val="0"/>
          <w:sz w:val="32"/>
          <w:szCs w:val="32"/>
          <w:shd w:val="clear" w:color="auto" w:fill="FFFFFF"/>
          <w:lang w:eastAsia="zh-CN"/>
        </w:rPr>
        <w:t>定</w:t>
      </w:r>
      <w:r>
        <w:rPr>
          <w:rFonts w:ascii="Times New Roman" w:hAnsi="Times New Roman" w:eastAsia="仿宋_GB2312"/>
          <w:kern w:val="0"/>
          <w:sz w:val="32"/>
          <w:szCs w:val="32"/>
          <w:shd w:val="clear" w:color="auto" w:fill="FFFFFF"/>
        </w:rPr>
        <w:t>适用于洛阳市</w:t>
      </w:r>
      <w:r>
        <w:rPr>
          <w:rFonts w:hint="eastAsia" w:ascii="Times New Roman" w:hAnsi="Times New Roman" w:eastAsia="仿宋_GB2312"/>
          <w:kern w:val="0"/>
          <w:sz w:val="32"/>
          <w:szCs w:val="32"/>
          <w:shd w:val="clear" w:color="auto" w:fill="FFFFFF"/>
          <w:lang w:val="en-US" w:eastAsia="zh-CN"/>
        </w:rPr>
        <w:t>伊川县</w:t>
      </w:r>
      <w:r>
        <w:rPr>
          <w:rFonts w:ascii="Times New Roman" w:hAnsi="Times New Roman" w:eastAsia="仿宋_GB2312"/>
          <w:kern w:val="0"/>
          <w:sz w:val="32"/>
          <w:szCs w:val="32"/>
          <w:shd w:val="clear" w:color="auto" w:fill="FFFFFF"/>
        </w:rPr>
        <w:t>范围内烟草制品零售点的设置与管理。关于电子烟零售店布局，按照《河南省电子烟零售点布局规划》执行。</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kern w:val="0"/>
          <w:sz w:val="32"/>
          <w:szCs w:val="32"/>
          <w:shd w:val="clear" w:color="auto" w:fill="FFFFFF"/>
        </w:rPr>
      </w:pPr>
      <w:r>
        <w:rPr>
          <w:rFonts w:ascii="Times New Roman" w:hAnsi="Times New Roman" w:eastAsia="楷体_GB2312"/>
          <w:bCs/>
          <w:kern w:val="0"/>
          <w:sz w:val="32"/>
          <w:szCs w:val="32"/>
          <w:shd w:val="clear" w:color="auto" w:fill="FFFFFF"/>
        </w:rPr>
        <w:t>第三条</w:t>
      </w:r>
      <w:r>
        <w:rPr>
          <w:rFonts w:ascii="Times New Roman" w:hAnsi="Times New Roman" w:eastAsia="仿宋_GB2312"/>
          <w:kern w:val="0"/>
          <w:sz w:val="32"/>
          <w:szCs w:val="32"/>
          <w:shd w:val="clear" w:color="auto" w:fill="FFFFFF"/>
        </w:rPr>
        <w:t xml:space="preserve"> 烟草制品零售点（以下简称</w:t>
      </w:r>
      <w:r>
        <w:rPr>
          <w:rFonts w:hint="eastAsia" w:ascii="Times New Roman" w:hAnsi="Times New Roman" w:eastAsia="仿宋_GB2312"/>
          <w:kern w:val="0"/>
          <w:sz w:val="32"/>
          <w:szCs w:val="32"/>
          <w:shd w:val="clear" w:color="auto" w:fill="FFFFFF"/>
          <w:lang w:eastAsia="zh-CN"/>
        </w:rPr>
        <w:t>“</w:t>
      </w:r>
      <w:r>
        <w:rPr>
          <w:rFonts w:ascii="Times New Roman" w:hAnsi="Times New Roman" w:eastAsia="仿宋_GB2312"/>
          <w:kern w:val="0"/>
          <w:sz w:val="32"/>
          <w:szCs w:val="32"/>
          <w:shd w:val="clear" w:color="auto" w:fill="FFFFFF"/>
        </w:rPr>
        <w:t>零售点</w:t>
      </w:r>
      <w:r>
        <w:rPr>
          <w:rFonts w:hint="eastAsia" w:ascii="Times New Roman" w:hAnsi="Times New Roman" w:eastAsia="仿宋_GB2312"/>
          <w:kern w:val="0"/>
          <w:sz w:val="32"/>
          <w:szCs w:val="32"/>
          <w:shd w:val="clear" w:color="auto" w:fill="FFFFFF"/>
          <w:lang w:eastAsia="zh-CN"/>
        </w:rPr>
        <w:t>”</w:t>
      </w:r>
      <w:r>
        <w:rPr>
          <w:rFonts w:ascii="Times New Roman" w:hAnsi="Times New Roman" w:eastAsia="仿宋_GB2312"/>
          <w:kern w:val="0"/>
          <w:sz w:val="32"/>
          <w:szCs w:val="32"/>
          <w:shd w:val="clear" w:color="auto" w:fill="FFFFFF"/>
        </w:rPr>
        <w:t>）是指依法取得烟草专卖零售许可证从事烟草制品零售业务的公民、法人及其他组织开展烟草制品零售业务的经营场所，且经营场所应具备满足最低经营需求的基本设施条件，形成初步的经营业态。</w:t>
      </w:r>
    </w:p>
    <w:p>
      <w:pPr>
        <w:pStyle w:val="2"/>
        <w:keepNext w:val="0"/>
        <w:keepLines w:val="0"/>
        <w:pageBreakBefore w:val="0"/>
        <w:kinsoku/>
        <w:wordWrap/>
        <w:overflowPunct/>
        <w:topLinePunct w:val="0"/>
        <w:autoSpaceDE/>
        <w:autoSpaceDN/>
        <w:bidi w:val="0"/>
        <w:adjustRightInd/>
        <w:snapToGrid/>
        <w:spacing w:after="0" w:line="580" w:lineRule="exact"/>
        <w:ind w:firstLine="640" w:firstLineChars="200"/>
        <w:jc w:val="left"/>
        <w:textAlignment w:val="auto"/>
        <w:rPr>
          <w:rFonts w:ascii="Times New Roman" w:hAnsi="Times New Roman" w:eastAsia="仿宋_GB2312"/>
          <w:kern w:val="0"/>
          <w:sz w:val="32"/>
          <w:szCs w:val="32"/>
          <w:shd w:val="clear" w:color="auto" w:fill="FFFFFF"/>
        </w:rPr>
      </w:pPr>
      <w:r>
        <w:rPr>
          <w:rFonts w:ascii="Times New Roman" w:hAnsi="Times New Roman" w:eastAsia="楷体_GB2312"/>
          <w:bCs/>
          <w:kern w:val="0"/>
          <w:sz w:val="32"/>
          <w:szCs w:val="32"/>
          <w:shd w:val="clear" w:color="auto" w:fill="FFFFFF"/>
        </w:rPr>
        <w:t>第四条</w:t>
      </w:r>
      <w:r>
        <w:rPr>
          <w:rFonts w:ascii="Times New Roman" w:hAnsi="Times New Roman" w:eastAsia="仿宋_GB2312"/>
          <w:bCs/>
          <w:kern w:val="0"/>
          <w:sz w:val="32"/>
          <w:szCs w:val="32"/>
          <w:shd w:val="clear" w:color="auto" w:fill="FFFFFF"/>
        </w:rPr>
        <w:t xml:space="preserve"> </w:t>
      </w:r>
      <w:r>
        <w:rPr>
          <w:rFonts w:ascii="Times New Roman" w:hAnsi="Times New Roman" w:eastAsia="仿宋_GB2312"/>
          <w:kern w:val="0"/>
          <w:sz w:val="32"/>
          <w:szCs w:val="32"/>
          <w:shd w:val="clear" w:color="auto" w:fill="FFFFFF"/>
        </w:rPr>
        <w:t>烟草制品零售点合理布局以市场为导向，遵循依法行政、科学规划、服务社会、均衡发展的原则。</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sz w:val="32"/>
          <w:szCs w:val="32"/>
        </w:rPr>
      </w:pPr>
      <w:r>
        <w:rPr>
          <w:rFonts w:ascii="Times New Roman" w:hAnsi="Times New Roman" w:eastAsia="楷体_GB2312"/>
          <w:bCs/>
          <w:kern w:val="0"/>
          <w:sz w:val="32"/>
          <w:szCs w:val="32"/>
          <w:shd w:val="clear" w:color="auto" w:fill="FFFFFF"/>
        </w:rPr>
        <w:t>第五条</w:t>
      </w:r>
      <w:r>
        <w:rPr>
          <w:rFonts w:ascii="Times New Roman" w:hAnsi="Times New Roman" w:eastAsia="仿宋_GB2312"/>
          <w:sz w:val="32"/>
          <w:szCs w:val="32"/>
        </w:rPr>
        <w:t xml:space="preserve"> 本规</w:t>
      </w:r>
      <w:r>
        <w:rPr>
          <w:rFonts w:hint="eastAsia" w:ascii="Times New Roman" w:hAnsi="Times New Roman" w:eastAsia="仿宋_GB2312"/>
          <w:sz w:val="32"/>
          <w:szCs w:val="32"/>
          <w:lang w:eastAsia="zh-CN"/>
        </w:rPr>
        <w:t>定</w:t>
      </w:r>
      <w:r>
        <w:rPr>
          <w:rFonts w:ascii="Times New Roman" w:hAnsi="Times New Roman" w:eastAsia="仿宋_GB2312"/>
          <w:sz w:val="32"/>
          <w:szCs w:val="32"/>
        </w:rPr>
        <w:t>由洛阳市</w:t>
      </w:r>
      <w:r>
        <w:rPr>
          <w:rFonts w:hint="eastAsia" w:ascii="Times New Roman" w:hAnsi="Times New Roman" w:eastAsia="仿宋_GB2312"/>
          <w:sz w:val="32"/>
          <w:szCs w:val="32"/>
          <w:lang w:val="en-US" w:eastAsia="zh-CN"/>
        </w:rPr>
        <w:t>伊川县</w:t>
      </w:r>
      <w:r>
        <w:rPr>
          <w:rFonts w:ascii="Times New Roman" w:hAnsi="Times New Roman" w:eastAsia="仿宋_GB2312"/>
          <w:sz w:val="32"/>
          <w:szCs w:val="32"/>
        </w:rPr>
        <w:t>烟草专卖局综合考量零售点存量、人口数量、交通状况、经济发展水平、消费能力等因素，</w:t>
      </w:r>
      <w:r>
        <w:rPr>
          <w:rFonts w:ascii="Times New Roman" w:hAnsi="Times New Roman" w:eastAsia="仿宋_GB2312"/>
          <w:kern w:val="0"/>
          <w:sz w:val="32"/>
          <w:szCs w:val="32"/>
          <w:lang w:bidi="ar"/>
        </w:rPr>
        <w:t>将辖区划分若干市场单元，并</w:t>
      </w:r>
      <w:r>
        <w:rPr>
          <w:rFonts w:ascii="Times New Roman" w:hAnsi="Times New Roman" w:eastAsia="仿宋_GB2312"/>
          <w:sz w:val="32"/>
          <w:szCs w:val="32"/>
        </w:rPr>
        <w:t>确定市场单元零售点的指导数。</w:t>
      </w:r>
    </w:p>
    <w:p>
      <w:pPr>
        <w:pStyle w:val="2"/>
        <w:keepNext w:val="0"/>
        <w:keepLines w:val="0"/>
        <w:pageBreakBefore w:val="0"/>
        <w:kinsoku/>
        <w:wordWrap/>
        <w:overflowPunct/>
        <w:topLinePunct w:val="0"/>
        <w:autoSpaceDE/>
        <w:autoSpaceDN/>
        <w:bidi w:val="0"/>
        <w:adjustRightInd/>
        <w:snapToGrid/>
        <w:spacing w:after="0" w:line="580" w:lineRule="exact"/>
        <w:ind w:firstLine="640" w:firstLineChars="200"/>
        <w:jc w:val="left"/>
        <w:textAlignment w:val="auto"/>
        <w:rPr>
          <w:rFonts w:ascii="Times New Roman" w:hAnsi="Times New Roman" w:eastAsia="仿宋_GB2312"/>
          <w:kern w:val="0"/>
          <w:sz w:val="32"/>
          <w:szCs w:val="32"/>
          <w:shd w:val="clear" w:color="auto" w:fill="FFFFFF"/>
        </w:rPr>
      </w:pPr>
      <w:r>
        <w:rPr>
          <w:rFonts w:ascii="Times New Roman" w:hAnsi="Times New Roman" w:eastAsia="楷体_GB2312"/>
          <w:bCs/>
          <w:kern w:val="0"/>
          <w:sz w:val="32"/>
          <w:szCs w:val="32"/>
          <w:shd w:val="clear" w:color="auto" w:fill="FFFFFF"/>
        </w:rPr>
        <w:t>第六条</w:t>
      </w:r>
      <w:r>
        <w:rPr>
          <w:rFonts w:hint="eastAsia" w:ascii="Times New Roman" w:hAnsi="Times New Roman" w:eastAsia="楷体_GB2312"/>
          <w:bCs/>
          <w:kern w:val="0"/>
          <w:sz w:val="32"/>
          <w:szCs w:val="32"/>
          <w:shd w:val="clear" w:color="auto" w:fill="FFFFFF"/>
        </w:rPr>
        <w:t xml:space="preserve"> </w:t>
      </w:r>
      <w:r>
        <w:rPr>
          <w:rFonts w:ascii="Times New Roman" w:hAnsi="Times New Roman" w:eastAsia="仿宋_GB2312"/>
          <w:sz w:val="32"/>
          <w:szCs w:val="32"/>
          <w:shd w:val="clear" w:color="auto" w:fill="FFFFFF"/>
        </w:rPr>
        <w:t>为了合理满足消费需求、防止无序竞争、落实控烟履约要求，对辖区的市场单元和市场单元内的烟草制品零售点合理布局进行动态调整，以发布为准。根据辖区内的人口数量、交通状况、经济发展水平、消费能力</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烟草制品</w:t>
      </w:r>
      <w:r>
        <w:rPr>
          <w:rFonts w:hint="eastAsia" w:ascii="Times New Roman" w:hAnsi="Times New Roman" w:eastAsia="仿宋_GB2312"/>
          <w:sz w:val="32"/>
          <w:szCs w:val="32"/>
          <w:shd w:val="clear" w:color="auto" w:fill="FFFFFF"/>
        </w:rPr>
        <w:t>零</w:t>
      </w:r>
      <w:r>
        <w:rPr>
          <w:rFonts w:ascii="Times New Roman" w:hAnsi="Times New Roman" w:eastAsia="仿宋_GB2312"/>
          <w:sz w:val="32"/>
          <w:szCs w:val="32"/>
          <w:shd w:val="clear" w:color="auto" w:fill="FFFFFF"/>
        </w:rPr>
        <w:t>售点数量、盈利水平、诚信等级等因素，科学设定市场单元内的烟草制品零售点数量布局。零售点数量布局设置以指导数为基本参照，</w:t>
      </w:r>
      <w:r>
        <w:rPr>
          <w:rFonts w:hint="eastAsia" w:ascii="Times New Roman" w:hAnsi="Times New Roman" w:eastAsia="仿宋_GB2312"/>
          <w:sz w:val="32"/>
          <w:szCs w:val="32"/>
          <w:highlight w:val="none"/>
          <w:shd w:val="clear" w:color="auto" w:fill="FFFFFF"/>
        </w:rPr>
        <w:t>每年12月份或有实际需要时进行动态调整并对外公示，</w:t>
      </w:r>
      <w:r>
        <w:rPr>
          <w:rFonts w:ascii="Times New Roman" w:hAnsi="Times New Roman" w:eastAsia="仿宋_GB2312"/>
          <w:sz w:val="32"/>
          <w:szCs w:val="32"/>
          <w:shd w:val="clear" w:color="auto" w:fill="FFFFFF"/>
        </w:rPr>
        <w:t>在已经满足市场消费需求的情况下，按照</w:t>
      </w:r>
      <w:r>
        <w:rPr>
          <w:rFonts w:hint="eastAsia" w:ascii="Times New Roman" w:hAnsi="Times New Roman" w:eastAsia="仿宋_GB2312"/>
          <w:sz w:val="32"/>
          <w:szCs w:val="32"/>
          <w:shd w:val="clear" w:color="auto" w:fill="FFFFFF"/>
          <w:lang w:eastAsia="zh-CN"/>
        </w:rPr>
        <w:t>“</w:t>
      </w:r>
      <w:r>
        <w:rPr>
          <w:rFonts w:ascii="Times New Roman" w:hAnsi="Times New Roman" w:eastAsia="仿宋_GB2312"/>
          <w:sz w:val="32"/>
          <w:szCs w:val="32"/>
          <w:shd w:val="clear" w:color="auto" w:fill="FFFFFF"/>
        </w:rPr>
        <w:t>退一进一</w:t>
      </w:r>
      <w:r>
        <w:rPr>
          <w:rFonts w:hint="eastAsia" w:ascii="Times New Roman" w:hAnsi="Times New Roman" w:eastAsia="仿宋_GB2312"/>
          <w:sz w:val="32"/>
          <w:szCs w:val="32"/>
          <w:shd w:val="clear" w:color="auto" w:fill="FFFFFF"/>
          <w:lang w:eastAsia="zh-CN"/>
        </w:rPr>
        <w:t>”</w:t>
      </w:r>
      <w:r>
        <w:rPr>
          <w:rFonts w:ascii="Times New Roman" w:hAnsi="Times New Roman" w:eastAsia="仿宋_GB2312"/>
          <w:sz w:val="32"/>
          <w:szCs w:val="32"/>
          <w:shd w:val="clear" w:color="auto" w:fill="FFFFFF"/>
        </w:rPr>
        <w:t>原则，根据排队轮候顺序依法受理</w:t>
      </w:r>
      <w:r>
        <w:rPr>
          <w:rFonts w:ascii="Times New Roman" w:hAnsi="Times New Roman" w:eastAsia="仿宋_GB2312"/>
          <w:kern w:val="0"/>
          <w:sz w:val="32"/>
          <w:szCs w:val="32"/>
          <w:shd w:val="clear" w:color="auto" w:fill="FFFFFF"/>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kern w:val="0"/>
          <w:sz w:val="32"/>
          <w:szCs w:val="32"/>
          <w:shd w:val="clear" w:color="auto" w:fill="FFFFFF"/>
        </w:rPr>
      </w:pPr>
      <w:r>
        <w:rPr>
          <w:rFonts w:ascii="Times New Roman" w:hAnsi="Times New Roman" w:eastAsia="楷体_GB2312"/>
          <w:bCs/>
          <w:kern w:val="0"/>
          <w:sz w:val="32"/>
          <w:szCs w:val="32"/>
          <w:shd w:val="clear" w:color="auto" w:fill="FFFFFF"/>
        </w:rPr>
        <w:t>第</w:t>
      </w:r>
      <w:r>
        <w:rPr>
          <w:rFonts w:hint="eastAsia" w:ascii="Times New Roman" w:hAnsi="Times New Roman" w:eastAsia="楷体_GB2312"/>
          <w:bCs/>
          <w:kern w:val="0"/>
          <w:sz w:val="32"/>
          <w:szCs w:val="32"/>
          <w:shd w:val="clear" w:color="auto" w:fill="FFFFFF"/>
          <w:lang w:eastAsia="zh-CN"/>
        </w:rPr>
        <w:t>七</w:t>
      </w:r>
      <w:r>
        <w:rPr>
          <w:rFonts w:ascii="Times New Roman" w:hAnsi="Times New Roman" w:eastAsia="楷体_GB2312"/>
          <w:bCs/>
          <w:kern w:val="0"/>
          <w:sz w:val="32"/>
          <w:szCs w:val="32"/>
          <w:shd w:val="clear" w:color="auto" w:fill="FFFFFF"/>
        </w:rPr>
        <w:t>条</w:t>
      </w:r>
      <w:r>
        <w:rPr>
          <w:rFonts w:hint="eastAsia" w:ascii="Times New Roman" w:hAnsi="Times New Roman" w:eastAsia="楷体_GB2312"/>
          <w:bCs/>
          <w:kern w:val="0"/>
          <w:sz w:val="32"/>
          <w:szCs w:val="32"/>
          <w:shd w:val="clear" w:color="auto" w:fill="FFFFFF"/>
        </w:rPr>
        <w:t xml:space="preserve"> </w:t>
      </w:r>
      <w:r>
        <w:rPr>
          <w:rFonts w:ascii="Times New Roman" w:hAnsi="Times New Roman" w:eastAsia="仿宋_GB2312"/>
          <w:sz w:val="32"/>
          <w:szCs w:val="32"/>
        </w:rPr>
        <w:t>零售点合理布局规</w:t>
      </w:r>
      <w:r>
        <w:rPr>
          <w:rFonts w:hint="eastAsia" w:ascii="Times New Roman" w:hAnsi="Times New Roman" w:eastAsia="仿宋_GB2312"/>
          <w:sz w:val="32"/>
          <w:szCs w:val="32"/>
          <w:lang w:eastAsia="zh-CN"/>
        </w:rPr>
        <w:t>定</w:t>
      </w:r>
      <w:r>
        <w:rPr>
          <w:rFonts w:ascii="Times New Roman" w:hAnsi="Times New Roman" w:eastAsia="仿宋_GB2312"/>
          <w:sz w:val="32"/>
          <w:szCs w:val="32"/>
        </w:rPr>
        <w:t>应向社会公示。</w:t>
      </w: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Times New Roman" w:hAnsi="Times New Roman" w:eastAsia="黑体"/>
          <w:kern w:val="0"/>
          <w:sz w:val="32"/>
          <w:szCs w:val="32"/>
          <w:shd w:val="clear" w:color="auto" w:fill="FFFFFF"/>
        </w:rPr>
      </w:pPr>
      <w:r>
        <w:rPr>
          <w:rFonts w:ascii="Times New Roman" w:hAnsi="Times New Roman" w:eastAsia="黑体"/>
          <w:kern w:val="0"/>
          <w:sz w:val="32"/>
          <w:szCs w:val="32"/>
          <w:shd w:val="clear" w:color="auto" w:fill="FFFFFF"/>
        </w:rPr>
        <w:t>第二章  零售点总体布局规划</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ascii="Times New Roman" w:hAnsi="Times New Roman" w:eastAsia="仿宋_GB2312"/>
          <w:sz w:val="32"/>
          <w:szCs w:val="32"/>
          <w:shd w:val="clear" w:color="auto" w:fill="FFFFFF"/>
        </w:rPr>
      </w:pPr>
      <w:r>
        <w:rPr>
          <w:rFonts w:ascii="Times New Roman" w:hAnsi="Times New Roman" w:eastAsia="楷体_GB2312"/>
          <w:bCs/>
          <w:sz w:val="32"/>
          <w:szCs w:val="32"/>
          <w:shd w:val="clear" w:color="auto" w:fill="FFFFFF"/>
        </w:rPr>
        <w:t>第</w:t>
      </w:r>
      <w:r>
        <w:rPr>
          <w:rFonts w:hint="eastAsia" w:ascii="Times New Roman" w:hAnsi="Times New Roman" w:eastAsia="楷体_GB2312"/>
          <w:bCs/>
          <w:sz w:val="32"/>
          <w:szCs w:val="32"/>
          <w:shd w:val="clear" w:color="auto" w:fill="FFFFFF"/>
          <w:lang w:eastAsia="zh-CN"/>
        </w:rPr>
        <w:t>八</w:t>
      </w:r>
      <w:r>
        <w:rPr>
          <w:rFonts w:ascii="Times New Roman" w:hAnsi="Times New Roman" w:eastAsia="楷体_GB2312"/>
          <w:bCs/>
          <w:sz w:val="32"/>
          <w:szCs w:val="32"/>
          <w:shd w:val="clear" w:color="auto" w:fill="FFFFFF"/>
        </w:rPr>
        <w:t>条</w:t>
      </w:r>
      <w:r>
        <w:rPr>
          <w:rFonts w:ascii="Times New Roman" w:hAnsi="Times New Roman" w:eastAsia="仿宋_GB2312"/>
          <w:bCs/>
          <w:sz w:val="32"/>
          <w:szCs w:val="32"/>
          <w:shd w:val="clear" w:color="auto" w:fill="FFFFFF"/>
        </w:rPr>
        <w:t xml:space="preserve"> </w:t>
      </w:r>
      <w:r>
        <w:rPr>
          <w:rFonts w:ascii="Times New Roman" w:hAnsi="Times New Roman" w:eastAsia="仿宋_GB2312"/>
          <w:sz w:val="32"/>
          <w:szCs w:val="32"/>
          <w:shd w:val="clear" w:color="auto" w:fill="FFFFFF"/>
        </w:rPr>
        <w:t>距离限制模式</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sz w:val="32"/>
          <w:szCs w:val="32"/>
          <w:shd w:val="clear" w:color="auto" w:fill="FFFFFF"/>
        </w:rPr>
      </w:pPr>
      <w:r>
        <w:rPr>
          <w:rFonts w:ascii="Times New Roman" w:hAnsi="Times New Roman" w:eastAsia="仿宋_GB2312"/>
          <w:kern w:val="0"/>
          <w:sz w:val="32"/>
          <w:szCs w:val="32"/>
          <w:lang w:bidi="ar"/>
        </w:rPr>
        <w:t>（一）在</w:t>
      </w:r>
      <w:r>
        <w:rPr>
          <w:rFonts w:hint="eastAsia" w:ascii="Times New Roman" w:hAnsi="Times New Roman" w:eastAsia="仿宋_GB2312"/>
          <w:kern w:val="0"/>
          <w:sz w:val="32"/>
          <w:szCs w:val="32"/>
          <w:lang w:bidi="ar"/>
        </w:rPr>
        <w:t>符合</w:t>
      </w:r>
      <w:r>
        <w:rPr>
          <w:rFonts w:ascii="Times New Roman" w:hAnsi="Times New Roman" w:eastAsia="仿宋_GB2312"/>
          <w:sz w:val="32"/>
          <w:szCs w:val="32"/>
          <w:shd w:val="clear" w:color="auto" w:fill="FFFFFF"/>
        </w:rPr>
        <w:t>市场</w:t>
      </w:r>
      <w:r>
        <w:rPr>
          <w:rFonts w:ascii="Times New Roman" w:hAnsi="Times New Roman" w:eastAsia="仿宋_GB2312"/>
          <w:kern w:val="0"/>
          <w:sz w:val="32"/>
          <w:szCs w:val="32"/>
          <w:lang w:bidi="ar"/>
        </w:rPr>
        <w:t>单元零售点指导数</w:t>
      </w:r>
      <w:r>
        <w:rPr>
          <w:rFonts w:hint="eastAsia" w:ascii="Times New Roman" w:hAnsi="Times New Roman" w:eastAsia="仿宋_GB2312"/>
          <w:kern w:val="0"/>
          <w:sz w:val="32"/>
          <w:szCs w:val="32"/>
          <w:lang w:bidi="ar"/>
        </w:rPr>
        <w:t>要求的</w:t>
      </w:r>
      <w:r>
        <w:rPr>
          <w:rFonts w:ascii="Times New Roman" w:hAnsi="Times New Roman" w:eastAsia="仿宋_GB2312"/>
          <w:kern w:val="0"/>
          <w:sz w:val="32"/>
          <w:szCs w:val="32"/>
          <w:lang w:bidi="ar"/>
        </w:rPr>
        <w:t>基础上，各市场单元新设零售点应同时满足间距控制标准，</w:t>
      </w:r>
      <w:r>
        <w:rPr>
          <w:rFonts w:hint="default" w:ascii="Times New Roman" w:hAnsi="Times New Roman" w:eastAsia="仿宋_GB2312" w:cs="Times New Roman"/>
          <w:color w:val="auto"/>
          <w:kern w:val="0"/>
          <w:sz w:val="32"/>
          <w:szCs w:val="32"/>
          <w:u w:val="none"/>
          <w:lang w:bidi="ar"/>
        </w:rPr>
        <w:t>本辖区内的烟草制品零售点，两个零售点间距不低于50米</w:t>
      </w:r>
      <w:r>
        <w:rPr>
          <w:rFonts w:ascii="Times New Roman" w:hAnsi="Times New Roman" w:eastAsia="仿宋_GB2312"/>
          <w:sz w:val="32"/>
          <w:szCs w:val="32"/>
          <w:shd w:val="clear" w:color="auto" w:fill="FFFFFF"/>
        </w:rPr>
        <w:t>（不受距离限制及放宽情形的除外）。</w:t>
      </w:r>
    </w:p>
    <w:p>
      <w:pPr>
        <w:pStyle w:val="2"/>
        <w:keepNext w:val="0"/>
        <w:keepLines w:val="0"/>
        <w:pageBreakBefore w:val="0"/>
        <w:kinsoku/>
        <w:wordWrap/>
        <w:overflowPunct/>
        <w:topLinePunct w:val="0"/>
        <w:autoSpaceDE/>
        <w:autoSpaceDN/>
        <w:bidi w:val="0"/>
        <w:adjustRightInd/>
        <w:snapToGrid/>
        <w:spacing w:after="0" w:line="580" w:lineRule="exact"/>
        <w:ind w:firstLine="640" w:firstLineChars="200"/>
        <w:jc w:val="left"/>
        <w:textAlignment w:val="auto"/>
        <w:rPr>
          <w:rFonts w:ascii="Times New Roman" w:hAnsi="Times New Roman" w:eastAsia="仿宋_GB2312"/>
        </w:rPr>
      </w:pPr>
      <w:r>
        <w:rPr>
          <w:rFonts w:ascii="Times New Roman" w:hAnsi="Times New Roman" w:eastAsia="仿宋_GB2312"/>
          <w:kern w:val="0"/>
          <w:sz w:val="32"/>
          <w:szCs w:val="32"/>
          <w:shd w:val="clear" w:color="auto" w:fill="FFFFFF"/>
        </w:rPr>
        <w:t>（二）与烟草制品零售业务没有直接或间接互补营销关系的经营场所（经营业务包括但不限于：学生用品、文化体育、网吧游戏、传真打印、美容美发、按摩推拿、化妆洗涤、药妆医械、足疗保健、五金建材、装修装饰、家电家具、床上用品、电子音像、服饰鞋帽、母婴用品、金银珠宝、汽车销售、汽车服务、修理修配、寄递配送、中介劳服、寄卖典当、金融证券、彩票销售、仪器仪表、通信器材、农具农资、农畜养殖、照相馆、宠物店、渔具店、旅行社、散酒精酿、茶叶专卖、洗浴中心、民宿驿站、小型餐饮、小吃店、蛋糕店等），设置零售点需符合该市场单元零售点指导数要求，且与周边最近零售点间距不低于200米。</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ascii="Times New Roman" w:hAnsi="Times New Roman" w:eastAsia="仿宋_GB2312"/>
          <w:sz w:val="32"/>
          <w:szCs w:val="32"/>
          <w:shd w:val="clear" w:color="auto" w:fill="FFFFFF"/>
        </w:rPr>
      </w:pPr>
      <w:r>
        <w:rPr>
          <w:rFonts w:ascii="Times New Roman" w:hAnsi="Times New Roman" w:eastAsia="楷体_GB2312"/>
          <w:bCs/>
          <w:sz w:val="32"/>
          <w:szCs w:val="32"/>
          <w:shd w:val="clear" w:color="auto" w:fill="FFFFFF"/>
        </w:rPr>
        <w:t>第</w:t>
      </w:r>
      <w:r>
        <w:rPr>
          <w:rFonts w:hint="eastAsia" w:ascii="Times New Roman" w:hAnsi="Times New Roman" w:eastAsia="楷体_GB2312"/>
          <w:bCs/>
          <w:sz w:val="32"/>
          <w:szCs w:val="32"/>
          <w:shd w:val="clear" w:color="auto" w:fill="FFFFFF"/>
          <w:lang w:eastAsia="zh-CN"/>
        </w:rPr>
        <w:t>九</w:t>
      </w:r>
      <w:r>
        <w:rPr>
          <w:rFonts w:ascii="Times New Roman" w:hAnsi="Times New Roman" w:eastAsia="楷体_GB2312"/>
          <w:bCs/>
          <w:sz w:val="32"/>
          <w:szCs w:val="32"/>
          <w:shd w:val="clear" w:color="auto" w:fill="FFFFFF"/>
        </w:rPr>
        <w:t>条</w:t>
      </w:r>
      <w:r>
        <w:rPr>
          <w:rFonts w:ascii="Times New Roman" w:hAnsi="Times New Roman" w:eastAsia="仿宋_GB2312"/>
          <w:sz w:val="32"/>
          <w:szCs w:val="32"/>
          <w:shd w:val="clear" w:color="auto" w:fill="FFFFFF"/>
        </w:rPr>
        <w:t xml:space="preserve"> 总量限制模式</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shd w:val="clear" w:color="auto" w:fill="FFFFFF"/>
        </w:rPr>
        <w:t>有下列情形之一的，不受</w:t>
      </w:r>
      <w:r>
        <w:rPr>
          <w:rFonts w:ascii="Times New Roman" w:hAnsi="Times New Roman" w:eastAsia="仿宋_GB2312"/>
          <w:sz w:val="32"/>
          <w:szCs w:val="32"/>
        </w:rPr>
        <w:t>本规划第</w:t>
      </w:r>
      <w:r>
        <w:rPr>
          <w:rFonts w:hint="eastAsia" w:ascii="Times New Roman" w:hAnsi="Times New Roman" w:eastAsia="仿宋_GB2312"/>
          <w:sz w:val="32"/>
          <w:szCs w:val="32"/>
          <w:lang w:eastAsia="zh-CN"/>
        </w:rPr>
        <w:t>八</w:t>
      </w:r>
      <w:r>
        <w:rPr>
          <w:rFonts w:ascii="Times New Roman" w:hAnsi="Times New Roman" w:eastAsia="仿宋_GB2312"/>
          <w:sz w:val="32"/>
          <w:szCs w:val="32"/>
        </w:rPr>
        <w:t>条</w:t>
      </w:r>
      <w:r>
        <w:rPr>
          <w:rFonts w:ascii="Times New Roman" w:hAnsi="Times New Roman" w:eastAsia="仿宋_GB2312"/>
          <w:sz w:val="32"/>
          <w:szCs w:val="32"/>
          <w:shd w:val="clear" w:color="auto" w:fill="FFFFFF"/>
        </w:rPr>
        <w:t>限制</w:t>
      </w:r>
      <w:r>
        <w:rPr>
          <w:rFonts w:hint="eastAsia" w:ascii="Times New Roman" w:hAnsi="Times New Roman" w:eastAsia="仿宋_GB2312"/>
          <w:sz w:val="32"/>
          <w:szCs w:val="32"/>
          <w:shd w:val="clear" w:color="auto" w:fill="FFFFFF"/>
        </w:rPr>
        <w:t>，</w:t>
      </w:r>
      <w:r>
        <w:rPr>
          <w:rFonts w:hint="eastAsia" w:ascii="Times New Roman" w:hAnsi="Times New Roman" w:eastAsia="仿宋_GB2312"/>
          <w:sz w:val="32"/>
          <w:szCs w:val="32"/>
          <w:highlight w:val="none"/>
          <w:shd w:val="clear" w:color="auto" w:fill="FFFFFF"/>
        </w:rPr>
        <w:t>且不作为距离限制的有效参照物</w:t>
      </w:r>
      <w:r>
        <w:rPr>
          <w:rFonts w:ascii="Times New Roman" w:hAnsi="Times New Roman" w:eastAsia="仿宋_GB2312"/>
          <w:sz w:val="32"/>
          <w:szCs w:val="32"/>
          <w:highlight w:val="none"/>
          <w:shd w:val="clear" w:color="auto" w:fill="FFFFFF"/>
        </w:rPr>
        <w:t>。</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ascii="Times New Roman" w:hAnsi="Times New Roman" w:eastAsia="仿宋_GB2312"/>
          <w:kern w:val="2"/>
          <w:sz w:val="32"/>
          <w:szCs w:val="32"/>
          <w:shd w:val="clear" w:color="auto" w:fill="FFFFFF"/>
        </w:rPr>
      </w:pPr>
      <w:r>
        <w:rPr>
          <w:rFonts w:ascii="Times New Roman" w:hAnsi="Times New Roman" w:eastAsia="仿宋_GB2312"/>
          <w:kern w:val="2"/>
          <w:sz w:val="32"/>
          <w:szCs w:val="32"/>
          <w:shd w:val="clear" w:color="auto" w:fill="FFFFFF"/>
        </w:rPr>
        <w:t>1.住宅小区内（不包含临街门面房）根据楼栋数量设置零售点，</w:t>
      </w:r>
      <w:r>
        <w:rPr>
          <w:rFonts w:hint="eastAsia" w:ascii="Times New Roman" w:hAnsi="Times New Roman" w:eastAsia="仿宋_GB2312"/>
          <w:kern w:val="2"/>
          <w:sz w:val="32"/>
          <w:szCs w:val="32"/>
          <w:shd w:val="clear" w:color="auto" w:fill="FFFFFF"/>
        </w:rPr>
        <w:t>每</w:t>
      </w:r>
      <w:r>
        <w:rPr>
          <w:rFonts w:ascii="Times New Roman" w:hAnsi="Times New Roman" w:eastAsia="仿宋_GB2312"/>
          <w:kern w:val="2"/>
          <w:sz w:val="32"/>
          <w:szCs w:val="32"/>
          <w:shd w:val="clear" w:color="auto" w:fill="FFFFFF"/>
        </w:rPr>
        <w:t>5栋可设置1个零售点，每增加5栋可增设1个零售点，最多不超过5个。</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ascii="Times New Roman" w:hAnsi="Times New Roman" w:eastAsia="仿宋_GB2312"/>
          <w:kern w:val="2"/>
          <w:sz w:val="32"/>
          <w:szCs w:val="32"/>
          <w:shd w:val="clear" w:color="auto" w:fill="FFFFFF"/>
        </w:rPr>
      </w:pPr>
      <w:r>
        <w:rPr>
          <w:rFonts w:hint="eastAsia" w:ascii="Times New Roman" w:hAnsi="Times New Roman" w:eastAsia="仿宋_GB2312"/>
          <w:kern w:val="2"/>
          <w:sz w:val="32"/>
          <w:szCs w:val="32"/>
          <w:shd w:val="clear" w:color="auto" w:fill="FFFFFF"/>
        </w:rPr>
        <w:t>2.行政村（划入城市道路市场单元的除外）根据市场单元指导数量，按总量限制原则设置零售点。</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3.特殊场所的零售点设置：</w:t>
      </w:r>
    </w:p>
    <w:p>
      <w:pPr>
        <w:pStyle w:val="2"/>
        <w:keepNext w:val="0"/>
        <w:keepLines w:val="0"/>
        <w:pageBreakBefore w:val="0"/>
        <w:kinsoku/>
        <w:wordWrap/>
        <w:overflowPunct/>
        <w:topLinePunct w:val="0"/>
        <w:autoSpaceDE/>
        <w:autoSpaceDN/>
        <w:bidi w:val="0"/>
        <w:adjustRightInd/>
        <w:snapToGrid/>
        <w:spacing w:after="0" w:line="580" w:lineRule="exact"/>
        <w:ind w:firstLine="640" w:firstLineChars="200"/>
        <w:textAlignment w:val="auto"/>
        <w:rPr>
          <w:rFonts w:ascii="Times New Roman" w:hAnsi="Times New Roman" w:eastAsia="仿宋_GB2312"/>
          <w:kern w:val="0"/>
          <w:sz w:val="32"/>
          <w:szCs w:val="32"/>
          <w:shd w:val="clear" w:color="auto" w:fill="FFFFFF"/>
        </w:rPr>
      </w:pPr>
      <w:r>
        <w:rPr>
          <w:rFonts w:ascii="Times New Roman" w:hAnsi="Times New Roman" w:eastAsia="仿宋_GB2312"/>
          <w:sz w:val="32"/>
          <w:szCs w:val="32"/>
        </w:rPr>
        <w:t>（1）汽车站、火车站、高铁站、飞机场、地铁站大厅内（含售票厅、候车厅、大厅区域内各通道及走道、上下客区</w:t>
      </w:r>
      <w:r>
        <w:rPr>
          <w:rFonts w:hint="eastAsia" w:ascii="Times New Roman" w:hAnsi="Times New Roman" w:eastAsia="仿宋_GB2312"/>
          <w:sz w:val="32"/>
          <w:szCs w:val="32"/>
          <w:highlight w:val="none"/>
        </w:rPr>
        <w:t>、地下通道</w:t>
      </w:r>
      <w:r>
        <w:rPr>
          <w:rFonts w:ascii="Times New Roman" w:hAnsi="Times New Roman" w:eastAsia="仿宋_GB2312"/>
          <w:sz w:val="32"/>
          <w:szCs w:val="32"/>
        </w:rPr>
        <w:t>）按占地面积和人流量设置零售点，最多不超过3个。</w:t>
      </w:r>
    </w:p>
    <w:p>
      <w:pPr>
        <w:pStyle w:val="2"/>
        <w:keepNext w:val="0"/>
        <w:keepLines w:val="0"/>
        <w:pageBreakBefore w:val="0"/>
        <w:kinsoku/>
        <w:wordWrap/>
        <w:overflowPunct/>
        <w:topLinePunct w:val="0"/>
        <w:autoSpaceDE/>
        <w:autoSpaceDN/>
        <w:bidi w:val="0"/>
        <w:adjustRightInd/>
        <w:snapToGrid/>
        <w:spacing w:after="0"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kern w:val="0"/>
          <w:sz w:val="32"/>
          <w:szCs w:val="32"/>
          <w:shd w:val="clear" w:color="auto" w:fill="FFFFFF"/>
        </w:rPr>
        <w:t>（2）封闭式综合性市场、专业市场内部（不含临街门面房），面积在1万平方米以下的，设置零售点不超过2个；面积在1万平方米以上50万平方米以下的，每超过1万平方米可增设1个（余数达5000平方米以上的按1万平方米计算），但总数不超过5个；面积在50万平方米以上，在核定5个零售点的基础上，每超过2万平方米可增设1个（余数达1万平方米以上的按2万平方米计算），但总数不超过10个。</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kern w:val="0"/>
          <w:sz w:val="32"/>
          <w:szCs w:val="32"/>
          <w:shd w:val="clear" w:color="auto" w:fill="FFFFFF"/>
        </w:rPr>
      </w:pPr>
      <w:r>
        <w:rPr>
          <w:rFonts w:ascii="Times New Roman" w:hAnsi="Times New Roman" w:eastAsia="仿宋_GB2312"/>
          <w:sz w:val="32"/>
          <w:szCs w:val="32"/>
        </w:rPr>
        <w:t>（3）</w:t>
      </w:r>
      <w:r>
        <w:rPr>
          <w:rFonts w:ascii="Times New Roman" w:hAnsi="Times New Roman" w:eastAsia="仿宋_GB2312"/>
          <w:kern w:val="0"/>
          <w:sz w:val="32"/>
          <w:szCs w:val="32"/>
          <w:shd w:val="clear" w:color="auto" w:fill="FFFFFF"/>
        </w:rPr>
        <w:t>达到3000人以上规模的高等院校内（同一校区）可设置1个零售点，每增加3000人可以增设1个零售点，最多不超过5个。</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kern w:val="0"/>
          <w:sz w:val="32"/>
          <w:szCs w:val="32"/>
          <w:shd w:val="clear" w:color="auto" w:fill="FFFFFF"/>
        </w:rPr>
      </w:pPr>
      <w:r>
        <w:rPr>
          <w:rFonts w:ascii="Times New Roman" w:hAnsi="Times New Roman" w:eastAsia="仿宋_GB2312"/>
          <w:kern w:val="0"/>
          <w:sz w:val="32"/>
          <w:szCs w:val="32"/>
          <w:shd w:val="clear" w:color="auto" w:fill="FFFFFF"/>
        </w:rPr>
        <w:t>（4）封闭式旅游景区、厂矿、军队大院、拘留所、看守所、戒毒所、监狱（监区）等内部场所，按总量限制模式设置零售点，最多不得超过3个。</w:t>
      </w:r>
    </w:p>
    <w:p>
      <w:pPr>
        <w:pStyle w:val="2"/>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kern w:val="0"/>
          <w:sz w:val="32"/>
          <w:szCs w:val="32"/>
          <w:shd w:val="clear" w:color="auto" w:fill="FFFFFF"/>
        </w:rPr>
      </w:pPr>
      <w:r>
        <w:rPr>
          <w:rFonts w:ascii="Times New Roman" w:hAnsi="Times New Roman" w:eastAsia="仿宋_GB2312"/>
          <w:kern w:val="0"/>
          <w:sz w:val="32"/>
          <w:szCs w:val="32"/>
          <w:shd w:val="clear" w:color="auto" w:fill="FFFFFF"/>
        </w:rPr>
        <w:t>（5）营业面积在2000平方米以下的购物中心、商场可设置</w:t>
      </w:r>
      <w:r>
        <w:rPr>
          <w:rFonts w:hint="eastAsia" w:ascii="Times New Roman" w:hAnsi="Times New Roman" w:eastAsia="仿宋_GB2312"/>
          <w:kern w:val="0"/>
          <w:sz w:val="32"/>
          <w:szCs w:val="32"/>
          <w:shd w:val="clear" w:color="auto" w:fill="FFFFFF"/>
        </w:rPr>
        <w:t>1</w:t>
      </w:r>
      <w:r>
        <w:rPr>
          <w:rFonts w:ascii="Times New Roman" w:hAnsi="Times New Roman" w:eastAsia="仿宋_GB2312"/>
          <w:kern w:val="0"/>
          <w:sz w:val="32"/>
          <w:szCs w:val="32"/>
          <w:shd w:val="clear" w:color="auto" w:fill="FFFFFF"/>
        </w:rPr>
        <w:t>个零售点；营业面积在2000平方米以上的购物中心、商场，可每层设置</w:t>
      </w:r>
      <w:r>
        <w:rPr>
          <w:rFonts w:hint="eastAsia" w:ascii="Times New Roman" w:hAnsi="Times New Roman" w:eastAsia="仿宋_GB2312"/>
          <w:kern w:val="0"/>
          <w:sz w:val="32"/>
          <w:szCs w:val="32"/>
          <w:shd w:val="clear" w:color="auto" w:fill="FFFFFF"/>
        </w:rPr>
        <w:t>1</w:t>
      </w:r>
      <w:r>
        <w:rPr>
          <w:rFonts w:ascii="Times New Roman" w:hAnsi="Times New Roman" w:eastAsia="仿宋_GB2312"/>
          <w:kern w:val="0"/>
          <w:sz w:val="32"/>
          <w:szCs w:val="32"/>
          <w:shd w:val="clear" w:color="auto" w:fill="FFFFFF"/>
        </w:rPr>
        <w:t>个零售点。</w:t>
      </w:r>
    </w:p>
    <w:p>
      <w:pPr>
        <w:pStyle w:val="2"/>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olor w:val="auto"/>
          <w:sz w:val="32"/>
          <w:szCs w:val="32"/>
          <w:shd w:val="clear" w:color="auto" w:fill="FFFFFF"/>
        </w:rPr>
      </w:pPr>
      <w:r>
        <w:rPr>
          <w:rFonts w:ascii="Times New Roman" w:hAnsi="Times New Roman" w:eastAsia="仿宋_GB2312"/>
          <w:kern w:val="0"/>
          <w:sz w:val="32"/>
          <w:szCs w:val="32"/>
          <w:shd w:val="clear" w:color="auto" w:fill="FFFFFF"/>
        </w:rPr>
        <w:t>（6）</w:t>
      </w:r>
      <w:r>
        <w:rPr>
          <w:rFonts w:ascii="Times New Roman" w:hAnsi="Times New Roman" w:eastAsia="仿宋_GB2312"/>
          <w:sz w:val="32"/>
          <w:szCs w:val="32"/>
          <w:shd w:val="clear" w:color="auto" w:fill="FFFFFF"/>
        </w:rPr>
        <w:t>客房达到100间以上的宾馆酒店、</w:t>
      </w:r>
      <w:r>
        <w:rPr>
          <w:rFonts w:ascii="Times New Roman" w:hAnsi="Times New Roman" w:eastAsia="仿宋_GB2312"/>
          <w:sz w:val="32"/>
          <w:szCs w:val="32"/>
        </w:rPr>
        <w:t>高速公路服务区（休息区）单侧、具有安全保障措施的加油（气）站</w:t>
      </w:r>
      <w:r>
        <w:rPr>
          <w:rFonts w:ascii="Times New Roman" w:hAnsi="Times New Roman" w:eastAsia="仿宋_GB2312"/>
          <w:sz w:val="32"/>
          <w:szCs w:val="32"/>
          <w:shd w:val="clear" w:color="auto" w:fill="FFFFFF"/>
        </w:rPr>
        <w:t>按照</w:t>
      </w:r>
      <w:r>
        <w:rPr>
          <w:rFonts w:hint="eastAsia" w:ascii="Times New Roman" w:hAnsi="Times New Roman" w:eastAsia="仿宋_GB2312"/>
          <w:sz w:val="32"/>
          <w:szCs w:val="32"/>
          <w:shd w:val="clear" w:color="auto" w:fill="FFFFFF"/>
        </w:rPr>
        <w:t>一个经营场</w:t>
      </w:r>
      <w:r>
        <w:rPr>
          <w:rFonts w:hint="eastAsia" w:ascii="Times New Roman" w:hAnsi="Times New Roman" w:eastAsia="仿宋_GB2312"/>
          <w:color w:val="auto"/>
          <w:sz w:val="32"/>
          <w:szCs w:val="32"/>
          <w:shd w:val="clear" w:color="auto" w:fill="FFFFFF"/>
        </w:rPr>
        <w:t>所办理一证</w:t>
      </w:r>
      <w:r>
        <w:rPr>
          <w:rFonts w:ascii="Times New Roman" w:hAnsi="Times New Roman" w:eastAsia="仿宋_GB2312"/>
          <w:color w:val="auto"/>
          <w:sz w:val="32"/>
          <w:szCs w:val="32"/>
          <w:shd w:val="clear" w:color="auto" w:fill="FFFFFF"/>
        </w:rPr>
        <w:t>的原则办理。</w:t>
      </w:r>
    </w:p>
    <w:p>
      <w:pPr>
        <w:pStyle w:val="2"/>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highlight w:val="none"/>
        </w:rPr>
        <w:t>（7）商用写字楼、办公楼内部，每栋设置零售点不超过1个，临街商铺有即存持证户的不予设置</w:t>
      </w:r>
      <w:r>
        <w:rPr>
          <w:rFonts w:ascii="Times New Roman" w:hAnsi="Times New Roman" w:eastAsia="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Times New Roman" w:hAnsi="Times New Roman" w:eastAsia="黑体"/>
          <w:kern w:val="0"/>
          <w:sz w:val="32"/>
          <w:szCs w:val="32"/>
          <w:shd w:val="clear" w:color="auto" w:fill="FFFFFF"/>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Times New Roman" w:hAnsi="Times New Roman" w:eastAsia="黑体"/>
          <w:kern w:val="0"/>
          <w:sz w:val="32"/>
          <w:szCs w:val="32"/>
          <w:shd w:val="clear" w:color="auto" w:fill="FFFFFF"/>
        </w:rPr>
      </w:pPr>
      <w:r>
        <w:rPr>
          <w:rFonts w:ascii="Times New Roman" w:hAnsi="Times New Roman" w:eastAsia="黑体"/>
          <w:kern w:val="0"/>
          <w:sz w:val="32"/>
          <w:szCs w:val="32"/>
          <w:shd w:val="clear" w:color="auto" w:fill="FFFFFF"/>
        </w:rPr>
        <w:t>第三章  放宽情形</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楷体_GB2312"/>
          <w:bCs/>
          <w:kern w:val="0"/>
          <w:sz w:val="32"/>
          <w:szCs w:val="32"/>
          <w:shd w:val="clear" w:color="auto" w:fill="FFFFFF"/>
        </w:rPr>
        <w:t>第十条</w:t>
      </w:r>
      <w:r>
        <w:rPr>
          <w:rFonts w:ascii="Times New Roman" w:hAnsi="Times New Roman" w:eastAsia="仿宋_GB2312"/>
          <w:sz w:val="32"/>
          <w:szCs w:val="32"/>
        </w:rPr>
        <w:t xml:space="preserve"> 对下列情形在</w:t>
      </w:r>
      <w:r>
        <w:rPr>
          <w:rFonts w:hint="eastAsia" w:ascii="Times New Roman" w:hAnsi="Times New Roman" w:eastAsia="仿宋_GB2312"/>
          <w:sz w:val="32"/>
          <w:szCs w:val="32"/>
        </w:rPr>
        <w:t>间距</w:t>
      </w:r>
      <w:r>
        <w:rPr>
          <w:rFonts w:ascii="Times New Roman" w:hAnsi="Times New Roman" w:eastAsia="仿宋_GB2312"/>
          <w:sz w:val="32"/>
          <w:szCs w:val="32"/>
        </w:rPr>
        <w:t>上予以放宽，但属于不予设置情形的除外。</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highlight w:val="none"/>
        </w:rPr>
      </w:pPr>
      <w:r>
        <w:rPr>
          <w:rFonts w:ascii="Times New Roman" w:hAnsi="Times New Roman" w:eastAsia="仿宋_GB2312"/>
          <w:sz w:val="32"/>
          <w:szCs w:val="32"/>
        </w:rPr>
        <w:t>（一）</w:t>
      </w:r>
      <w:r>
        <w:rPr>
          <w:rFonts w:hint="eastAsia" w:ascii="Times New Roman" w:hAnsi="Times New Roman" w:eastAsia="仿宋_GB2312"/>
          <w:sz w:val="32"/>
          <w:szCs w:val="32"/>
          <w:highlight w:val="none"/>
        </w:rPr>
        <w:t>具有完全民事行为能力的残疾人、烈属个体经营户，且与烟草制品零售业务有直接或间接互补营销关系的，本人首次申领烟草专卖零售许可证的，与周边最近零售点间距不得少于</w:t>
      </w:r>
      <w:r>
        <w:rPr>
          <w:rFonts w:ascii="Times New Roman" w:hAnsi="Times New Roman" w:eastAsia="仿宋_GB2312"/>
          <w:sz w:val="32"/>
          <w:szCs w:val="32"/>
          <w:highlight w:val="none"/>
        </w:rPr>
        <w:t>30</w:t>
      </w:r>
      <w:r>
        <w:rPr>
          <w:rFonts w:hint="eastAsia" w:ascii="Times New Roman" w:hAnsi="Times New Roman" w:eastAsia="仿宋_GB2312"/>
          <w:sz w:val="32"/>
          <w:szCs w:val="32"/>
          <w:highlight w:val="none"/>
        </w:rPr>
        <w:t>米。以扶持条款取得的卷烟零售许可证不得变更。</w:t>
      </w:r>
    </w:p>
    <w:p>
      <w:pPr>
        <w:pStyle w:val="2"/>
        <w:keepNext w:val="0"/>
        <w:keepLines w:val="0"/>
        <w:pageBreakBefore w:val="0"/>
        <w:kinsoku/>
        <w:wordWrap/>
        <w:overflowPunct/>
        <w:topLinePunct w:val="0"/>
        <w:autoSpaceDE/>
        <w:autoSpaceDN/>
        <w:bidi w:val="0"/>
        <w:adjustRightInd/>
        <w:snapToGrid/>
        <w:spacing w:after="0" w:line="580" w:lineRule="exact"/>
        <w:ind w:firstLine="640" w:firstLineChars="200"/>
        <w:jc w:val="left"/>
        <w:textAlignment w:val="auto"/>
        <w:rPr>
          <w:rFonts w:ascii="Times New Roman" w:hAnsi="Times New Roman" w:eastAsia="仿宋_GB2312"/>
          <w:sz w:val="32"/>
          <w:szCs w:val="32"/>
        </w:rPr>
      </w:pPr>
      <w:r>
        <w:rPr>
          <w:rFonts w:ascii="Times New Roman" w:hAnsi="Times New Roman" w:eastAsia="仿宋_GB2312"/>
          <w:sz w:val="32"/>
          <w:szCs w:val="32"/>
        </w:rPr>
        <w:t>（二）省级以上政策扶持的公益性连锁企业门店申领烟草专卖零售许可证的</w:t>
      </w:r>
      <w:r>
        <w:rPr>
          <w:rFonts w:hint="eastAsia" w:ascii="Times New Roman" w:hAnsi="Times New Roman" w:eastAsia="仿宋_GB2312"/>
          <w:sz w:val="32"/>
          <w:szCs w:val="32"/>
        </w:rPr>
        <w:t>，</w:t>
      </w:r>
      <w:r>
        <w:rPr>
          <w:rFonts w:ascii="Times New Roman" w:hAnsi="Times New Roman" w:eastAsia="仿宋_GB2312"/>
          <w:sz w:val="32"/>
          <w:szCs w:val="32"/>
        </w:rPr>
        <w:t>在符合该市场单元零售点指导数要求的基础上，与周边最近零售点间距不低于</w:t>
      </w:r>
      <w:r>
        <w:rPr>
          <w:rFonts w:hint="eastAsia" w:ascii="Times New Roman" w:hAnsi="Times New Roman" w:eastAsia="仿宋_GB2312"/>
          <w:sz w:val="32"/>
          <w:szCs w:val="32"/>
        </w:rPr>
        <w:t>3</w:t>
      </w:r>
      <w:r>
        <w:rPr>
          <w:rFonts w:ascii="Times New Roman" w:hAnsi="Times New Roman" w:eastAsia="仿宋_GB2312"/>
          <w:sz w:val="32"/>
          <w:szCs w:val="32"/>
        </w:rPr>
        <w:t>0</w:t>
      </w:r>
      <w:r>
        <w:rPr>
          <w:rFonts w:hint="eastAsia" w:ascii="Times New Roman" w:hAnsi="Times New Roman" w:eastAsia="仿宋_GB2312"/>
          <w:sz w:val="32"/>
          <w:szCs w:val="32"/>
        </w:rPr>
        <w:t>米</w:t>
      </w:r>
      <w:r>
        <w:rPr>
          <w:rFonts w:ascii="Times New Roman" w:hAnsi="Times New Roman" w:eastAsia="仿宋_GB2312"/>
          <w:sz w:val="32"/>
          <w:szCs w:val="32"/>
        </w:rPr>
        <w:t>。</w:t>
      </w:r>
    </w:p>
    <w:p>
      <w:pPr>
        <w:pStyle w:val="2"/>
        <w:keepNext w:val="0"/>
        <w:keepLines w:val="0"/>
        <w:pageBreakBefore w:val="0"/>
        <w:kinsoku/>
        <w:wordWrap/>
        <w:overflowPunct/>
        <w:topLinePunct w:val="0"/>
        <w:autoSpaceDE/>
        <w:autoSpaceDN/>
        <w:bidi w:val="0"/>
        <w:adjustRightInd/>
        <w:snapToGrid/>
        <w:spacing w:after="0" w:line="580" w:lineRule="exact"/>
        <w:ind w:firstLine="640" w:firstLineChars="200"/>
        <w:jc w:val="left"/>
        <w:textAlignment w:val="auto"/>
        <w:rPr>
          <w:rFonts w:ascii="Times New Roman" w:hAnsi="Times New Roman" w:eastAsia="仿宋_GB2312"/>
          <w:sz w:val="32"/>
          <w:szCs w:val="32"/>
        </w:rPr>
      </w:pPr>
      <w:r>
        <w:rPr>
          <w:rFonts w:hint="eastAsia" w:ascii="Times New Roman" w:hAnsi="Times New Roman" w:eastAsia="楷体_GB2312"/>
          <w:bCs/>
          <w:kern w:val="0"/>
          <w:sz w:val="32"/>
          <w:szCs w:val="32"/>
          <w:highlight w:val="none"/>
          <w:shd w:val="clear" w:color="auto" w:fill="FFFFFF"/>
        </w:rPr>
        <w:t>第十</w:t>
      </w:r>
      <w:r>
        <w:rPr>
          <w:rFonts w:hint="eastAsia" w:ascii="Times New Roman" w:hAnsi="Times New Roman" w:eastAsia="楷体_GB2312"/>
          <w:bCs/>
          <w:kern w:val="0"/>
          <w:sz w:val="32"/>
          <w:szCs w:val="32"/>
          <w:highlight w:val="none"/>
          <w:shd w:val="clear" w:color="auto" w:fill="FFFFFF"/>
          <w:lang w:eastAsia="zh-CN"/>
        </w:rPr>
        <w:t>一</w:t>
      </w:r>
      <w:r>
        <w:rPr>
          <w:rFonts w:hint="eastAsia" w:ascii="Times New Roman" w:hAnsi="Times New Roman" w:eastAsia="楷体_GB2312"/>
          <w:bCs/>
          <w:kern w:val="0"/>
          <w:sz w:val="32"/>
          <w:szCs w:val="32"/>
          <w:highlight w:val="none"/>
          <w:shd w:val="clear" w:color="auto" w:fill="FFFFFF"/>
        </w:rPr>
        <w:t>条</w:t>
      </w:r>
      <w:r>
        <w:rPr>
          <w:rFonts w:hint="eastAsia" w:ascii="Times New Roman" w:hAnsi="Times New Roman" w:eastAsia="仿宋_GB2312"/>
          <w:sz w:val="32"/>
          <w:szCs w:val="32"/>
          <w:highlight w:val="none"/>
        </w:rPr>
        <w:t xml:space="preserve"> 有下列情形之一的，可不受间距和指导数限制，但属于不予设置情形的除外。</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rPr>
      </w:pPr>
      <w:r>
        <w:rPr>
          <w:rFonts w:ascii="Times New Roman" w:hAnsi="Times New Roman" w:eastAsia="仿宋_GB2312"/>
          <w:sz w:val="32"/>
          <w:szCs w:val="32"/>
        </w:rPr>
        <w:t>（</w:t>
      </w:r>
      <w:r>
        <w:rPr>
          <w:rFonts w:hint="eastAsia" w:ascii="Times New Roman" w:hAnsi="Times New Roman" w:eastAsia="仿宋_GB2312"/>
          <w:sz w:val="32"/>
          <w:szCs w:val="32"/>
        </w:rPr>
        <w:t>一</w:t>
      </w:r>
      <w:r>
        <w:rPr>
          <w:rFonts w:ascii="Times New Roman" w:hAnsi="Times New Roman" w:eastAsia="仿宋_GB2312"/>
          <w:sz w:val="32"/>
          <w:szCs w:val="32"/>
        </w:rPr>
        <w:t>）因道路规划、城市建设等客观原因造成无法在核定的经营地址经营的零售点，或因中小学、幼儿园新建、改造导致的先店后校、先店后门等情况，以及合理布局标准修订等客观原因造成中小学、幼儿园周边零售点不符合相关要求，持证人提前申请变更到原发证机关辖区内其他地址经营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二</w:t>
      </w:r>
      <w:r>
        <w:rPr>
          <w:rFonts w:ascii="Times New Roman" w:hAnsi="Times New Roman" w:eastAsia="仿宋_GB2312"/>
          <w:sz w:val="32"/>
          <w:szCs w:val="32"/>
        </w:rPr>
        <w:t>）只经营雪茄烟（不经营卷烟）的零售点，不受间距和指导数限制 (中小学、幼儿园周边除外)。雪茄烟专营商户经营范围增加卷烟的，应当适用</w:t>
      </w:r>
      <w:r>
        <w:rPr>
          <w:rFonts w:hint="eastAsia" w:ascii="Times New Roman" w:hAnsi="Times New Roman" w:eastAsia="仿宋_GB2312"/>
          <w:sz w:val="32"/>
          <w:szCs w:val="32"/>
        </w:rPr>
        <w:t>该</w:t>
      </w:r>
      <w:r>
        <w:rPr>
          <w:rFonts w:ascii="Times New Roman" w:hAnsi="Times New Roman" w:eastAsia="仿宋_GB2312"/>
          <w:sz w:val="32"/>
          <w:szCs w:val="32"/>
        </w:rPr>
        <w:t>合理布局规划规定的指导数和间距条件，提前申请变更许可证经营范围。</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三</w:t>
      </w:r>
      <w:r>
        <w:rPr>
          <w:rFonts w:ascii="Times New Roman" w:hAnsi="Times New Roman" w:eastAsia="仿宋_GB2312"/>
          <w:sz w:val="32"/>
          <w:szCs w:val="32"/>
        </w:rPr>
        <w:t>）非家庭经营持证个体工商户，两年内无涉烟违法记录，持证人死亡或者丧失民事行为能力的，</w:t>
      </w:r>
      <w:r>
        <w:rPr>
          <w:rFonts w:hint="eastAsia" w:ascii="Times New Roman" w:hAnsi="Times New Roman" w:eastAsia="仿宋_GB2312"/>
          <w:sz w:val="32"/>
          <w:szCs w:val="32"/>
        </w:rPr>
        <w:t>在</w:t>
      </w:r>
      <w:r>
        <w:rPr>
          <w:rFonts w:ascii="Times New Roman" w:hAnsi="Times New Roman" w:eastAsia="仿宋_GB2312"/>
          <w:sz w:val="32"/>
          <w:szCs w:val="32"/>
        </w:rPr>
        <w:t>烟草专卖零售许可证注销后90日内，原持证人的</w:t>
      </w:r>
      <w:r>
        <w:rPr>
          <w:rFonts w:hint="eastAsia" w:ascii="Times New Roman" w:hAnsi="Times New Roman" w:eastAsia="仿宋_GB2312"/>
          <w:sz w:val="32"/>
          <w:szCs w:val="32"/>
        </w:rPr>
        <w:t>直系亲属（</w:t>
      </w:r>
      <w:r>
        <w:rPr>
          <w:rFonts w:ascii="Times New Roman" w:hAnsi="Times New Roman" w:eastAsia="仿宋_GB2312"/>
          <w:sz w:val="32"/>
          <w:szCs w:val="32"/>
        </w:rPr>
        <w:t>配偶、父母或子女</w:t>
      </w:r>
      <w:r>
        <w:rPr>
          <w:rFonts w:hint="eastAsia" w:ascii="Times New Roman" w:hAnsi="Times New Roman" w:eastAsia="仿宋_GB2312"/>
          <w:sz w:val="32"/>
          <w:szCs w:val="32"/>
        </w:rPr>
        <w:t>）</w:t>
      </w:r>
      <w:r>
        <w:rPr>
          <w:rFonts w:ascii="Times New Roman" w:hAnsi="Times New Roman" w:eastAsia="仿宋_GB2312"/>
          <w:sz w:val="32"/>
          <w:szCs w:val="32"/>
        </w:rPr>
        <w:t>在原经营地址重新申请烟草专卖零售许可证的。</w:t>
      </w:r>
    </w:p>
    <w:p>
      <w:pPr>
        <w:pStyle w:val="2"/>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（四）营业面积在50平米以上，在洛阳市内拥有30家以上的同一法定代表人、统一门头、统一配送、统一经营模式的直营连锁便利店；营业面积在1000平方米以上的超市。</w:t>
      </w:r>
    </w:p>
    <w:p>
      <w:pPr>
        <w:pStyle w:val="2"/>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楷体_GB2312"/>
          <w:bCs/>
          <w:kern w:val="0"/>
          <w:sz w:val="32"/>
          <w:szCs w:val="32"/>
          <w:highlight w:val="none"/>
          <w:shd w:val="clear" w:color="auto" w:fill="FFFFFF"/>
        </w:rPr>
        <w:t>第十</w:t>
      </w:r>
      <w:r>
        <w:rPr>
          <w:rFonts w:hint="eastAsia" w:ascii="Times New Roman" w:hAnsi="Times New Roman" w:eastAsia="楷体_GB2312"/>
          <w:bCs/>
          <w:kern w:val="0"/>
          <w:sz w:val="32"/>
          <w:szCs w:val="32"/>
          <w:highlight w:val="none"/>
          <w:shd w:val="clear" w:color="auto" w:fill="FFFFFF"/>
          <w:lang w:eastAsia="zh-CN"/>
        </w:rPr>
        <w:t>二</w:t>
      </w:r>
      <w:r>
        <w:rPr>
          <w:rFonts w:hint="eastAsia" w:ascii="Times New Roman" w:hAnsi="Times New Roman" w:eastAsia="楷体_GB2312"/>
          <w:bCs/>
          <w:kern w:val="0"/>
          <w:sz w:val="32"/>
          <w:szCs w:val="32"/>
          <w:highlight w:val="none"/>
          <w:shd w:val="clear" w:color="auto" w:fill="FFFFFF"/>
        </w:rPr>
        <w:t>条</w:t>
      </w:r>
      <w:r>
        <w:rPr>
          <w:rFonts w:hint="eastAsia" w:ascii="Times New Roman" w:hAnsi="Times New Roman" w:eastAsia="仿宋_GB2312"/>
          <w:sz w:val="32"/>
          <w:szCs w:val="32"/>
          <w:highlight w:val="none"/>
        </w:rPr>
        <w:t xml:space="preserve"> 新办申请在实地核查零售点最近间距时，不受存在本规定第十条、第十</w:t>
      </w:r>
      <w:r>
        <w:rPr>
          <w:rFonts w:hint="eastAsia" w:ascii="Times New Roman" w:hAnsi="Times New Roman" w:eastAsia="仿宋_GB2312"/>
          <w:sz w:val="32"/>
          <w:szCs w:val="32"/>
          <w:highlight w:val="none"/>
          <w:lang w:eastAsia="zh-CN"/>
        </w:rPr>
        <w:t>一</w:t>
      </w:r>
      <w:r>
        <w:rPr>
          <w:rFonts w:hint="eastAsia" w:ascii="Times New Roman" w:hAnsi="Times New Roman" w:eastAsia="仿宋_GB2312"/>
          <w:sz w:val="32"/>
          <w:szCs w:val="32"/>
          <w:highlight w:val="none"/>
        </w:rPr>
        <w:t>条和两年内申请停业累计超过12个月的持证商户限制。</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textAlignment w:val="auto"/>
        <w:rPr>
          <w:rFonts w:ascii="Times New Roman" w:hAnsi="Times New Roman" w:eastAsia="仿宋_GB2312"/>
          <w:sz w:val="32"/>
          <w:szCs w:val="32"/>
          <w:shd w:val="clear" w:color="auto" w:fill="FFFFFF"/>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Times New Roman" w:hAnsi="Times New Roman" w:eastAsia="仿宋_GB2312"/>
          <w:kern w:val="0"/>
          <w:sz w:val="32"/>
          <w:szCs w:val="32"/>
          <w:shd w:val="clear" w:color="auto" w:fill="FFFFFF"/>
        </w:rPr>
      </w:pPr>
      <w:r>
        <w:rPr>
          <w:rFonts w:ascii="Times New Roman" w:hAnsi="Times New Roman" w:eastAsia="黑体"/>
          <w:kern w:val="0"/>
          <w:sz w:val="32"/>
          <w:szCs w:val="32"/>
          <w:shd w:val="clear" w:color="auto" w:fill="FFFFFF"/>
        </w:rPr>
        <w:t>第四章  不予延续情形</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楷体_GB2312"/>
          <w:bCs/>
          <w:kern w:val="0"/>
          <w:sz w:val="32"/>
          <w:szCs w:val="32"/>
          <w:shd w:val="clear" w:color="auto" w:fill="FFFFFF"/>
        </w:rPr>
        <w:t>第十</w:t>
      </w:r>
      <w:r>
        <w:rPr>
          <w:rFonts w:hint="eastAsia" w:ascii="Times New Roman" w:hAnsi="Times New Roman" w:eastAsia="楷体_GB2312"/>
          <w:bCs/>
          <w:kern w:val="0"/>
          <w:sz w:val="32"/>
          <w:szCs w:val="32"/>
          <w:shd w:val="clear" w:color="auto" w:fill="FFFFFF"/>
          <w:lang w:eastAsia="zh-CN"/>
        </w:rPr>
        <w:t>三</w:t>
      </w:r>
      <w:r>
        <w:rPr>
          <w:rFonts w:ascii="Times New Roman" w:hAnsi="Times New Roman" w:eastAsia="楷体_GB2312"/>
          <w:bCs/>
          <w:kern w:val="0"/>
          <w:sz w:val="32"/>
          <w:szCs w:val="32"/>
          <w:shd w:val="clear" w:color="auto" w:fill="FFFFFF"/>
        </w:rPr>
        <w:t>条</w:t>
      </w:r>
      <w:r>
        <w:rPr>
          <w:rFonts w:ascii="Times New Roman" w:hAnsi="Times New Roman" w:eastAsia="仿宋_GB2312"/>
          <w:bCs/>
          <w:kern w:val="0"/>
          <w:sz w:val="32"/>
          <w:szCs w:val="32"/>
          <w:shd w:val="clear" w:color="auto" w:fill="FFFFFF"/>
        </w:rPr>
        <w:t xml:space="preserve"> </w:t>
      </w:r>
      <w:r>
        <w:rPr>
          <w:rFonts w:ascii="Times New Roman" w:hAnsi="Times New Roman" w:eastAsia="仿宋_GB2312"/>
          <w:sz w:val="32"/>
          <w:szCs w:val="32"/>
        </w:rPr>
        <w:t>有下列情形之一的，烟草专卖零售许可证有效期届满后不予延续：</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（一）经营场所基于安全因素不适宜经营卷烟的。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（二）中小学、幼儿园周围。</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（三）经营主体发生变化的。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（四）不再具备固定经营场所的。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（五）经营场所与住所不相独立的。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（六）经营场所条件发生变化导致其既不符合取得许可时也不符合申请延续时的烟草制品零售点合理布局规</w:t>
      </w:r>
      <w:r>
        <w:rPr>
          <w:rFonts w:hint="eastAsia" w:ascii="Times New Roman" w:hAnsi="Times New Roman" w:eastAsia="仿宋_GB2312"/>
          <w:sz w:val="32"/>
          <w:szCs w:val="32"/>
          <w:lang w:eastAsia="zh-CN"/>
        </w:rPr>
        <w:t>定</w:t>
      </w:r>
      <w:r>
        <w:rPr>
          <w:rFonts w:ascii="Times New Roman" w:hAnsi="Times New Roman" w:eastAsia="仿宋_GB2312"/>
          <w:sz w:val="32"/>
          <w:szCs w:val="32"/>
        </w:rPr>
        <w:t xml:space="preserve">要求的。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（七）非法生产经营烟草专卖品数额在5万元以上或者违法所得数额在2万元以上或者非法经营卷烟20万支以上，未被追究刑事责任的。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（八）因非法生产经营烟草专卖品被追究刑事责任的。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（九）买卖、出租、出借或者以其他形式非法转让烟草专卖许可证的。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（十）被市场监管部门吊销营业执照的。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（十一）其他严重违法行为的。</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ascii="Times New Roman" w:hAnsi="Times New Roman" w:eastAsia="仿宋_GB2312"/>
          <w:sz w:val="32"/>
          <w:szCs w:val="32"/>
          <w:shd w:val="clear" w:color="auto" w:fill="FFFFFF"/>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Times New Roman" w:hAnsi="Times New Roman" w:eastAsia="仿宋_GB2312"/>
          <w:sz w:val="32"/>
          <w:szCs w:val="32"/>
        </w:rPr>
      </w:pPr>
      <w:r>
        <w:rPr>
          <w:rFonts w:ascii="Times New Roman" w:hAnsi="Times New Roman" w:eastAsia="黑体"/>
          <w:kern w:val="0"/>
          <w:sz w:val="32"/>
          <w:szCs w:val="32"/>
          <w:shd w:val="clear" w:color="auto" w:fill="FFFFFF"/>
        </w:rPr>
        <w:t>第五章  不予设置情形</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楷体_GB2312"/>
          <w:bCs/>
          <w:kern w:val="0"/>
          <w:sz w:val="32"/>
          <w:szCs w:val="32"/>
          <w:shd w:val="clear" w:color="auto" w:fill="FFFFFF"/>
        </w:rPr>
        <w:t>第十</w:t>
      </w:r>
      <w:r>
        <w:rPr>
          <w:rFonts w:hint="eastAsia" w:ascii="Times New Roman" w:hAnsi="Times New Roman" w:eastAsia="楷体_GB2312"/>
          <w:bCs/>
          <w:kern w:val="0"/>
          <w:sz w:val="32"/>
          <w:szCs w:val="32"/>
          <w:shd w:val="clear" w:color="auto" w:fill="FFFFFF"/>
          <w:lang w:eastAsia="zh-CN"/>
        </w:rPr>
        <w:t>四</w:t>
      </w:r>
      <w:r>
        <w:rPr>
          <w:rFonts w:ascii="Times New Roman" w:hAnsi="Times New Roman" w:eastAsia="楷体_GB2312"/>
          <w:bCs/>
          <w:kern w:val="0"/>
          <w:sz w:val="32"/>
          <w:szCs w:val="32"/>
          <w:shd w:val="clear" w:color="auto" w:fill="FFFFFF"/>
        </w:rPr>
        <w:t>条</w:t>
      </w:r>
      <w:r>
        <w:rPr>
          <w:rFonts w:ascii="Times New Roman" w:hAnsi="Times New Roman" w:eastAsia="仿宋_GB2312"/>
          <w:sz w:val="32"/>
          <w:szCs w:val="32"/>
        </w:rPr>
        <w:t xml:space="preserve"> 有下列情形之一的，不予设置烟草制品零售点:</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（一）申请人无固定经营场所的。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（二）申请人不具备申请资格的。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（三）申请人的经营场所与住所不相独立的。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（四）取消从事烟草专卖业务资格不满三年的。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（五）因申请人隐瞒有关情况或者提供虚假材料的，申请人在一年内再次申请烟草专卖许可证的。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（六）因申请人以欺骗、贿赂等不正当手段取得的烟草专卖许可证被撤销后，申请人三年内再次提出申请的。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（七）未领取烟草专卖零售许可证经营烟草专卖品业务，并且一年内被执法机关处罚两次以上，在三年内申请领取烟草专卖零售许可证的。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（八）未领取烟草专卖零售许可证经营烟草专卖品业务被追究刑事责任，在三年内申请领取烟草专卖零售许可证的。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（九）经营场所基于安全因素不适宜经营卷烟，</w:t>
      </w:r>
      <w:r>
        <w:rPr>
          <w:rFonts w:ascii="Times New Roman" w:hAnsi="Times New Roman" w:eastAsia="仿宋_GB2312"/>
          <w:sz w:val="32"/>
          <w:szCs w:val="32"/>
          <w:shd w:val="clear" w:color="auto" w:fill="FFFFFF"/>
        </w:rPr>
        <w:t>经消防等职能部门认定存在安全隐患，生产、经营、储存有毒有害、易挥发类物质，不符合食品安全标准，容易造成卷烟污染的</w:t>
      </w:r>
      <w:r>
        <w:rPr>
          <w:rFonts w:ascii="Times New Roman" w:hAnsi="Times New Roman" w:eastAsia="仿宋_GB2312"/>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十）中小学校内部及距离中小学校学生通勤出入口（不含教职工通道、后勤通道、消防通道、应急通道、垃圾通道及长年关闭的边门等）100米内；幼儿园内部及距离幼儿园学生通勤出入口（不含教职工通道、后勤通道、消防通道、应急通道、垃圾通道及长年关闭的边门等）50米内；可向学校、幼儿园内销售卷烟的窗口、栅栏等情形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（十一）一个经营场所已经办理了烟草专卖零售许可证的。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（十二）外商投资的商业企业或者个体工商户不得从事烟草专卖品批发或者零售业务，以特许、吸纳加盟店及其他再投资等形式变相从事烟草专卖品经营业务的。</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（十三）公民、法人或者其他组织利用自动售货机或者其他自动售货形式，销售或者变相销售烟草制品的。</w:t>
      </w:r>
    </w:p>
    <w:p>
      <w:pPr>
        <w:pStyle w:val="3"/>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（十四）除了取得烟草专卖生产企业许可证或者烟草专卖批发企业许可证的企业依法销售烟草专卖品外，任何公民、法人或者其他组织通过信息网络销售烟草专卖品的。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（十五）申请人为无民事行为能力人或者限制行为能力人的。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（十六）经营场所位于国家机关、党政机关内部和医疗机构内部的。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（十七）相关法律、法规、规章和烟草专卖行政主管部门及政府行政规范性文件规定的其它情形。</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ascii="Times New Roman" w:hAnsi="Times New Roman" w:eastAsia="仿宋_GB2312"/>
          <w:sz w:val="32"/>
          <w:szCs w:val="32"/>
          <w:shd w:val="clear" w:color="auto" w:fill="FFFFFF"/>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Times New Roman" w:hAnsi="Times New Roman" w:eastAsia="仿宋_GB2312"/>
          <w:kern w:val="0"/>
          <w:sz w:val="32"/>
          <w:szCs w:val="32"/>
          <w:shd w:val="clear" w:color="auto" w:fill="FFFFFF"/>
        </w:rPr>
      </w:pPr>
      <w:r>
        <w:rPr>
          <w:rFonts w:ascii="Times New Roman" w:hAnsi="Times New Roman" w:eastAsia="黑体"/>
          <w:kern w:val="0"/>
          <w:sz w:val="32"/>
          <w:szCs w:val="32"/>
          <w:shd w:val="clear" w:color="auto" w:fill="FFFFFF"/>
        </w:rPr>
        <w:t>第六章  附  则</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楷体_GB2312"/>
          <w:bCs/>
          <w:kern w:val="0"/>
          <w:sz w:val="32"/>
          <w:szCs w:val="32"/>
          <w:shd w:val="clear" w:color="auto" w:fill="FFFFFF"/>
        </w:rPr>
        <w:t>第十</w:t>
      </w:r>
      <w:r>
        <w:rPr>
          <w:rFonts w:hint="eastAsia" w:ascii="Times New Roman" w:hAnsi="Times New Roman" w:eastAsia="楷体_GB2312"/>
          <w:bCs/>
          <w:kern w:val="0"/>
          <w:sz w:val="32"/>
          <w:szCs w:val="32"/>
          <w:shd w:val="clear" w:color="auto" w:fill="FFFFFF"/>
          <w:lang w:eastAsia="zh-CN"/>
        </w:rPr>
        <w:t>五</w:t>
      </w:r>
      <w:r>
        <w:rPr>
          <w:rFonts w:ascii="Times New Roman" w:hAnsi="Times New Roman" w:eastAsia="楷体_GB2312"/>
          <w:bCs/>
          <w:kern w:val="0"/>
          <w:sz w:val="32"/>
          <w:szCs w:val="32"/>
          <w:shd w:val="clear" w:color="auto" w:fill="FFFFFF"/>
        </w:rPr>
        <w:t>条</w:t>
      </w:r>
      <w:r>
        <w:rPr>
          <w:rFonts w:ascii="Times New Roman" w:hAnsi="Times New Roman" w:eastAsia="仿宋_GB2312"/>
          <w:sz w:val="32"/>
          <w:szCs w:val="32"/>
        </w:rPr>
        <w:t xml:space="preserve"> 本规</w:t>
      </w:r>
      <w:r>
        <w:rPr>
          <w:rFonts w:hint="eastAsia" w:ascii="Times New Roman" w:hAnsi="Times New Roman" w:eastAsia="仿宋_GB2312"/>
          <w:sz w:val="32"/>
          <w:szCs w:val="32"/>
          <w:lang w:eastAsia="zh-CN"/>
        </w:rPr>
        <w:t>定</w:t>
      </w:r>
      <w:bookmarkStart w:id="0" w:name="_GoBack"/>
      <w:bookmarkEnd w:id="0"/>
      <w:r>
        <w:rPr>
          <w:rFonts w:ascii="Times New Roman" w:hAnsi="Times New Roman" w:eastAsia="仿宋_GB2312"/>
          <w:sz w:val="32"/>
          <w:szCs w:val="32"/>
        </w:rPr>
        <w:t>所称</w:t>
      </w:r>
      <w:r>
        <w:rPr>
          <w:rFonts w:hint="eastAsia" w:ascii="Times New Roman" w:hAnsi="Times New Roman" w:eastAsia="仿宋_GB2312"/>
          <w:sz w:val="32"/>
          <w:szCs w:val="32"/>
          <w:lang w:eastAsia="zh-CN"/>
        </w:rPr>
        <w:t>“</w:t>
      </w:r>
      <w:r>
        <w:rPr>
          <w:rFonts w:ascii="Times New Roman" w:hAnsi="Times New Roman" w:eastAsia="仿宋_GB2312"/>
          <w:sz w:val="32"/>
          <w:szCs w:val="32"/>
        </w:rPr>
        <w:t>经营场所</w:t>
      </w:r>
      <w:r>
        <w:rPr>
          <w:rFonts w:hint="eastAsia" w:ascii="Times New Roman" w:hAnsi="Times New Roman" w:eastAsia="仿宋_GB2312"/>
          <w:sz w:val="32"/>
          <w:szCs w:val="32"/>
          <w:lang w:eastAsia="zh-CN"/>
        </w:rPr>
        <w:t>”</w:t>
      </w:r>
      <w:r>
        <w:rPr>
          <w:rFonts w:ascii="Times New Roman" w:hAnsi="Times New Roman" w:eastAsia="仿宋_GB2312"/>
          <w:sz w:val="32"/>
          <w:szCs w:val="32"/>
        </w:rPr>
        <w:t>是指市场主体从事经营活动的营业场所，应当与经营范围相适应，依法取得使用权，具有合法的产权权属、使用功能及法定用途，不属于违法建设、危险建筑、被征收房屋等依法不能用作经营场所的房屋。</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楷体_GB2312"/>
          <w:bCs/>
          <w:kern w:val="0"/>
          <w:sz w:val="32"/>
          <w:szCs w:val="32"/>
          <w:shd w:val="clear" w:color="auto" w:fill="FFFFFF"/>
        </w:rPr>
      </w:pPr>
      <w:r>
        <w:rPr>
          <w:rFonts w:ascii="Times New Roman" w:hAnsi="Times New Roman" w:eastAsia="楷体_GB2312"/>
          <w:bCs/>
          <w:kern w:val="0"/>
          <w:sz w:val="32"/>
          <w:szCs w:val="32"/>
          <w:shd w:val="clear" w:color="auto" w:fill="FFFFFF"/>
        </w:rPr>
        <w:t>第十</w:t>
      </w:r>
      <w:r>
        <w:rPr>
          <w:rFonts w:hint="eastAsia" w:ascii="Times New Roman" w:hAnsi="Times New Roman" w:eastAsia="楷体_GB2312"/>
          <w:bCs/>
          <w:kern w:val="0"/>
          <w:sz w:val="32"/>
          <w:szCs w:val="32"/>
          <w:shd w:val="clear" w:color="auto" w:fill="FFFFFF"/>
          <w:lang w:eastAsia="zh-CN"/>
        </w:rPr>
        <w:t>六</w:t>
      </w:r>
      <w:r>
        <w:rPr>
          <w:rFonts w:ascii="Times New Roman" w:hAnsi="Times New Roman" w:eastAsia="楷体_GB2312"/>
          <w:bCs/>
          <w:kern w:val="0"/>
          <w:sz w:val="32"/>
          <w:szCs w:val="32"/>
          <w:shd w:val="clear" w:color="auto" w:fill="FFFFFF"/>
        </w:rPr>
        <w:t>条</w:t>
      </w:r>
      <w:r>
        <w:rPr>
          <w:rFonts w:hint="eastAsia" w:ascii="Times New Roman" w:hAnsi="Times New Roman" w:eastAsia="楷体_GB2312"/>
          <w:bCs/>
          <w:kern w:val="0"/>
          <w:sz w:val="32"/>
          <w:szCs w:val="32"/>
          <w:shd w:val="clear" w:color="auto" w:fill="FFFFFF"/>
        </w:rPr>
        <w:t xml:space="preserve"> </w:t>
      </w:r>
      <w:r>
        <w:rPr>
          <w:rFonts w:hint="eastAsia" w:ascii="仿宋_GB2312" w:hAnsi="仿宋_GB2312" w:eastAsia="仿宋_GB2312" w:cs="仿宋_GB2312"/>
          <w:bCs/>
          <w:kern w:val="0"/>
          <w:sz w:val="32"/>
          <w:szCs w:val="32"/>
          <w:shd w:val="clear" w:color="auto" w:fill="FFFFFF"/>
        </w:rPr>
        <w:t>本规</w:t>
      </w:r>
      <w:r>
        <w:rPr>
          <w:rFonts w:hint="eastAsia" w:ascii="仿宋_GB2312" w:hAnsi="仿宋_GB2312" w:eastAsia="仿宋_GB2312" w:cs="仿宋_GB2312"/>
          <w:bCs/>
          <w:kern w:val="0"/>
          <w:sz w:val="32"/>
          <w:szCs w:val="32"/>
          <w:shd w:val="clear" w:color="auto" w:fill="FFFFFF"/>
          <w:lang w:eastAsia="zh-CN"/>
        </w:rPr>
        <w:t>定</w:t>
      </w:r>
      <w:r>
        <w:rPr>
          <w:rFonts w:hint="eastAsia" w:ascii="仿宋_GB2312" w:hAnsi="仿宋_GB2312" w:eastAsia="仿宋_GB2312" w:cs="仿宋_GB2312"/>
          <w:bCs/>
          <w:kern w:val="0"/>
          <w:sz w:val="32"/>
          <w:szCs w:val="32"/>
          <w:shd w:val="clear" w:color="auto" w:fill="FFFFFF"/>
        </w:rPr>
        <w:t>所称的“营业面积”，是指集中陈列、销售商品场所的面积，不包括仓库、办公等辅助场所的面积。</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楷体_GB2312"/>
          <w:bCs/>
          <w:kern w:val="0"/>
          <w:sz w:val="32"/>
          <w:szCs w:val="32"/>
          <w:shd w:val="clear" w:color="auto" w:fill="FFFFFF"/>
        </w:rPr>
        <w:t>第十</w:t>
      </w:r>
      <w:r>
        <w:rPr>
          <w:rFonts w:hint="eastAsia" w:ascii="Times New Roman" w:hAnsi="Times New Roman" w:eastAsia="楷体_GB2312"/>
          <w:bCs/>
          <w:kern w:val="0"/>
          <w:sz w:val="32"/>
          <w:szCs w:val="32"/>
          <w:shd w:val="clear" w:color="auto" w:fill="FFFFFF"/>
          <w:lang w:eastAsia="zh-CN"/>
        </w:rPr>
        <w:t>七</w:t>
      </w:r>
      <w:r>
        <w:rPr>
          <w:rFonts w:ascii="Times New Roman" w:hAnsi="Times New Roman" w:eastAsia="楷体_GB2312"/>
          <w:bCs/>
          <w:kern w:val="0"/>
          <w:sz w:val="32"/>
          <w:szCs w:val="32"/>
          <w:shd w:val="clear" w:color="auto" w:fill="FFFFFF"/>
        </w:rPr>
        <w:t>条</w:t>
      </w:r>
      <w:r>
        <w:rPr>
          <w:rFonts w:ascii="Times New Roman" w:hAnsi="Times New Roman" w:eastAsia="仿宋_GB2312"/>
          <w:sz w:val="32"/>
          <w:szCs w:val="32"/>
        </w:rPr>
        <w:t xml:space="preserve"> 本规</w:t>
      </w:r>
      <w:r>
        <w:rPr>
          <w:rFonts w:hint="eastAsia" w:ascii="Times New Roman" w:hAnsi="Times New Roman" w:eastAsia="仿宋_GB2312"/>
          <w:sz w:val="32"/>
          <w:szCs w:val="32"/>
          <w:lang w:eastAsia="zh-CN"/>
        </w:rPr>
        <w:t>定</w:t>
      </w:r>
      <w:r>
        <w:rPr>
          <w:rFonts w:ascii="Times New Roman" w:hAnsi="Times New Roman" w:eastAsia="仿宋_GB2312"/>
          <w:sz w:val="32"/>
          <w:szCs w:val="32"/>
        </w:rPr>
        <w:t>所称</w:t>
      </w:r>
      <w:r>
        <w:rPr>
          <w:rFonts w:hint="eastAsia" w:ascii="Times New Roman" w:hAnsi="Times New Roman" w:eastAsia="仿宋_GB2312"/>
          <w:sz w:val="32"/>
          <w:szCs w:val="32"/>
          <w:lang w:eastAsia="zh-CN"/>
        </w:rPr>
        <w:t>“</w:t>
      </w:r>
      <w:r>
        <w:rPr>
          <w:rFonts w:ascii="Times New Roman" w:hAnsi="Times New Roman" w:eastAsia="仿宋_GB2312"/>
          <w:sz w:val="32"/>
          <w:szCs w:val="32"/>
        </w:rPr>
        <w:t>距离</w:t>
      </w:r>
      <w:r>
        <w:rPr>
          <w:rFonts w:hint="eastAsia" w:ascii="Times New Roman" w:hAnsi="Times New Roman" w:eastAsia="仿宋_GB2312"/>
          <w:sz w:val="32"/>
          <w:szCs w:val="32"/>
          <w:lang w:eastAsia="zh-CN"/>
        </w:rPr>
        <w:t>”</w:t>
      </w:r>
      <w:r>
        <w:rPr>
          <w:rFonts w:ascii="Times New Roman" w:hAnsi="Times New Roman" w:eastAsia="仿宋_GB2312"/>
          <w:sz w:val="32"/>
          <w:szCs w:val="32"/>
        </w:rPr>
        <w:t>是指拟从事烟草制品零售业务经营场所与参照零售点或中小学校、幼儿园之间的步行最短距离</w:t>
      </w:r>
      <w:r>
        <w:rPr>
          <w:rFonts w:ascii="Times New Roman" w:hAnsi="Times New Roman" w:eastAsia="仿宋_GB2312"/>
          <w:sz w:val="32"/>
          <w:szCs w:val="32"/>
          <w:shd w:val="clear" w:color="auto" w:fill="FFFFFF"/>
        </w:rPr>
        <w:t>。</w:t>
      </w:r>
      <w:r>
        <w:rPr>
          <w:rFonts w:ascii="Times New Roman" w:hAnsi="Times New Roman" w:eastAsia="仿宋_GB2312"/>
          <w:sz w:val="32"/>
          <w:szCs w:val="32"/>
        </w:rPr>
        <w:t>（距离测量时，以</w:t>
      </w:r>
      <w:r>
        <w:rPr>
          <w:rFonts w:ascii="Times New Roman" w:hAnsi="Times New Roman" w:eastAsia="仿宋_GB2312"/>
          <w:kern w:val="0"/>
          <w:sz w:val="32"/>
          <w:szCs w:val="32"/>
        </w:rPr>
        <w:t>依法可通行的最短距离为标准，</w:t>
      </w:r>
      <w:r>
        <w:rPr>
          <w:rFonts w:ascii="Times New Roman" w:hAnsi="Times New Roman" w:eastAsia="仿宋_GB2312"/>
          <w:sz w:val="32"/>
          <w:szCs w:val="32"/>
        </w:rPr>
        <w:t>按照</w:t>
      </w:r>
      <w:r>
        <w:rPr>
          <w:rFonts w:ascii="Times New Roman" w:hAnsi="Times New Roman" w:eastAsia="仿宋_GB2312"/>
          <w:sz w:val="32"/>
          <w:szCs w:val="32"/>
          <w:shd w:val="clear" w:color="auto" w:fill="FFFFFF"/>
        </w:rPr>
        <w:t>两个参照点最近一侧的门沿进行测量，</w:t>
      </w:r>
      <w:r>
        <w:rPr>
          <w:rFonts w:ascii="Times New Roman" w:hAnsi="Times New Roman" w:eastAsia="仿宋_GB2312"/>
          <w:sz w:val="32"/>
          <w:szCs w:val="32"/>
        </w:rPr>
        <w:t>不得穿越隔离护栏、护墙、花坛、花园、建筑物等设施或禁止性道路标线）。</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楷体_GB2312"/>
          <w:bCs/>
          <w:kern w:val="0"/>
          <w:sz w:val="32"/>
          <w:szCs w:val="32"/>
          <w:shd w:val="clear" w:color="auto" w:fill="FFFFFF"/>
        </w:rPr>
        <w:t>第十</w:t>
      </w:r>
      <w:r>
        <w:rPr>
          <w:rFonts w:hint="eastAsia" w:ascii="Times New Roman" w:hAnsi="Times New Roman" w:eastAsia="楷体_GB2312"/>
          <w:bCs/>
          <w:kern w:val="0"/>
          <w:sz w:val="32"/>
          <w:szCs w:val="32"/>
          <w:shd w:val="clear" w:color="auto" w:fill="FFFFFF"/>
          <w:lang w:eastAsia="zh-CN"/>
        </w:rPr>
        <w:t>八</w:t>
      </w:r>
      <w:r>
        <w:rPr>
          <w:rFonts w:ascii="Times New Roman" w:hAnsi="Times New Roman" w:eastAsia="楷体_GB2312"/>
          <w:bCs/>
          <w:kern w:val="0"/>
          <w:sz w:val="32"/>
          <w:szCs w:val="32"/>
          <w:shd w:val="clear" w:color="auto" w:fill="FFFFFF"/>
        </w:rPr>
        <w:t>条</w:t>
      </w:r>
      <w:r>
        <w:rPr>
          <w:rFonts w:ascii="Times New Roman" w:hAnsi="Times New Roman" w:eastAsia="仿宋_GB2312"/>
          <w:sz w:val="32"/>
          <w:szCs w:val="32"/>
        </w:rPr>
        <w:t xml:space="preserve"> 本规</w:t>
      </w:r>
      <w:r>
        <w:rPr>
          <w:rFonts w:hint="eastAsia" w:ascii="Times New Roman" w:hAnsi="Times New Roman" w:eastAsia="仿宋_GB2312"/>
          <w:sz w:val="32"/>
          <w:szCs w:val="32"/>
          <w:lang w:eastAsia="zh-CN"/>
        </w:rPr>
        <w:t>定</w:t>
      </w:r>
      <w:r>
        <w:rPr>
          <w:rFonts w:ascii="Times New Roman" w:hAnsi="Times New Roman" w:eastAsia="仿宋_GB2312"/>
          <w:sz w:val="32"/>
          <w:szCs w:val="32"/>
        </w:rPr>
        <w:t>所称</w:t>
      </w:r>
      <w:r>
        <w:rPr>
          <w:rFonts w:hint="eastAsia" w:ascii="Times New Roman" w:hAnsi="Times New Roman" w:eastAsia="仿宋_GB2312"/>
          <w:sz w:val="32"/>
          <w:szCs w:val="32"/>
          <w:lang w:eastAsia="zh-CN"/>
        </w:rPr>
        <w:t>“</w:t>
      </w:r>
      <w:r>
        <w:rPr>
          <w:rFonts w:ascii="Times New Roman" w:hAnsi="Times New Roman" w:eastAsia="仿宋_GB2312"/>
          <w:sz w:val="32"/>
          <w:szCs w:val="32"/>
        </w:rPr>
        <w:t>中小学</w:t>
      </w:r>
      <w:r>
        <w:rPr>
          <w:rFonts w:hint="eastAsia" w:ascii="Times New Roman" w:hAnsi="Times New Roman" w:eastAsia="仿宋_GB2312"/>
          <w:sz w:val="32"/>
          <w:szCs w:val="32"/>
          <w:lang w:eastAsia="zh-CN"/>
        </w:rPr>
        <w:t>”</w:t>
      </w:r>
      <w:r>
        <w:rPr>
          <w:rFonts w:ascii="Times New Roman" w:hAnsi="Times New Roman" w:eastAsia="仿宋_GB2312"/>
          <w:sz w:val="32"/>
          <w:szCs w:val="32"/>
        </w:rPr>
        <w:t>引用《中华人民共和国未成年人保护法》的“学校”含义：指普通中小学、特殊教育学校、中等职业学校、专门学校。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ascii="Times New Roman" w:hAnsi="Times New Roman" w:eastAsia="仿宋_GB2312"/>
          <w:sz w:val="32"/>
          <w:szCs w:val="32"/>
        </w:rPr>
        <w:t>特殊教育学校</w:t>
      </w:r>
      <w:r>
        <w:rPr>
          <w:rFonts w:hint="eastAsia" w:ascii="Times New Roman" w:hAnsi="Times New Roman" w:eastAsia="仿宋_GB2312"/>
          <w:sz w:val="32"/>
          <w:szCs w:val="32"/>
          <w:lang w:eastAsia="zh-CN"/>
        </w:rPr>
        <w:t>”</w:t>
      </w:r>
      <w:r>
        <w:rPr>
          <w:rFonts w:ascii="Times New Roman" w:hAnsi="Times New Roman" w:eastAsia="仿宋_GB2312"/>
          <w:sz w:val="32"/>
          <w:szCs w:val="32"/>
        </w:rPr>
        <w:t>：特殊教育学校是指由政府、企业事业组织、社会团体、其他社会组织及公民个人依法举办的专门对残疾儿童、少年实施义务教育的机构。（详见《特殊教育学校暂行规程》，中华人民共和国教育部令第</w:t>
      </w:r>
      <w:r>
        <w:rPr>
          <w:rFonts w:hint="eastAsia" w:ascii="Times New Roman" w:hAnsi="Times New Roman" w:eastAsia="仿宋_GB2312"/>
          <w:sz w:val="32"/>
          <w:szCs w:val="32"/>
        </w:rPr>
        <w:t>1</w:t>
      </w:r>
      <w:r>
        <w:rPr>
          <w:rFonts w:ascii="Times New Roman" w:hAnsi="Times New Roman" w:eastAsia="仿宋_GB2312"/>
          <w:sz w:val="32"/>
          <w:szCs w:val="32"/>
        </w:rPr>
        <w:t>号，自1998年12月2日起施行）。</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ascii="Times New Roman" w:hAnsi="Times New Roman" w:eastAsia="仿宋_GB2312"/>
          <w:sz w:val="32"/>
          <w:szCs w:val="32"/>
        </w:rPr>
        <w:t>专门学校</w:t>
      </w:r>
      <w:r>
        <w:rPr>
          <w:rFonts w:hint="eastAsia" w:ascii="Times New Roman" w:hAnsi="Times New Roman" w:eastAsia="仿宋_GB2312"/>
          <w:sz w:val="32"/>
          <w:szCs w:val="32"/>
          <w:lang w:eastAsia="zh-CN"/>
        </w:rPr>
        <w:t>”</w:t>
      </w:r>
      <w:r>
        <w:rPr>
          <w:rFonts w:ascii="Times New Roman" w:hAnsi="Times New Roman" w:eastAsia="仿宋_GB2312"/>
          <w:sz w:val="32"/>
          <w:szCs w:val="32"/>
        </w:rPr>
        <w:t>：国家加强专门学校建设，对有严重不良行为的未成年人进行专门教育。专门教育是国民教育体系的组成部分，是对有严重不良行为的未成年人进行教育和矫治的重要保护处分措施。（详见《中华人民共和国预防未成年人犯罪法》，自2021年6月1日起施行）。</w:t>
      </w:r>
    </w:p>
    <w:p>
      <w:pPr>
        <w:pStyle w:val="2"/>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楷体_GB2312"/>
          <w:bCs/>
          <w:kern w:val="0"/>
          <w:sz w:val="32"/>
          <w:szCs w:val="32"/>
          <w:shd w:val="clear" w:color="auto" w:fill="FFFFFF"/>
        </w:rPr>
        <w:t>第</w:t>
      </w:r>
      <w:r>
        <w:rPr>
          <w:rFonts w:hint="eastAsia" w:ascii="Times New Roman" w:hAnsi="Times New Roman" w:eastAsia="楷体_GB2312"/>
          <w:bCs/>
          <w:kern w:val="0"/>
          <w:sz w:val="32"/>
          <w:szCs w:val="32"/>
          <w:shd w:val="clear" w:color="auto" w:fill="FFFFFF"/>
        </w:rPr>
        <w:t>十</w:t>
      </w:r>
      <w:r>
        <w:rPr>
          <w:rFonts w:hint="eastAsia" w:ascii="Times New Roman" w:hAnsi="Times New Roman" w:eastAsia="楷体_GB2312"/>
          <w:bCs/>
          <w:kern w:val="0"/>
          <w:sz w:val="32"/>
          <w:szCs w:val="32"/>
          <w:shd w:val="clear" w:color="auto" w:fill="FFFFFF"/>
          <w:lang w:eastAsia="zh-CN"/>
        </w:rPr>
        <w:t>九</w:t>
      </w:r>
      <w:r>
        <w:rPr>
          <w:rFonts w:ascii="Times New Roman" w:hAnsi="Times New Roman" w:eastAsia="楷体_GB2312"/>
          <w:bCs/>
          <w:kern w:val="0"/>
          <w:sz w:val="32"/>
          <w:szCs w:val="32"/>
          <w:shd w:val="clear" w:color="auto" w:fill="FFFFFF"/>
        </w:rPr>
        <w:t>条</w:t>
      </w:r>
      <w:r>
        <w:rPr>
          <w:rFonts w:ascii="Times New Roman" w:hAnsi="Times New Roman" w:eastAsia="仿宋_GB2312"/>
          <w:sz w:val="32"/>
          <w:szCs w:val="32"/>
        </w:rPr>
        <w:t xml:space="preserve"> 本规</w:t>
      </w:r>
      <w:r>
        <w:rPr>
          <w:rFonts w:hint="eastAsia" w:ascii="Times New Roman" w:hAnsi="Times New Roman" w:eastAsia="仿宋_GB2312"/>
          <w:sz w:val="32"/>
          <w:szCs w:val="32"/>
          <w:lang w:eastAsia="zh-CN"/>
        </w:rPr>
        <w:t>定</w:t>
      </w:r>
      <w:r>
        <w:rPr>
          <w:rFonts w:ascii="Times New Roman" w:hAnsi="Times New Roman" w:eastAsia="仿宋_GB2312"/>
          <w:sz w:val="32"/>
          <w:szCs w:val="32"/>
        </w:rPr>
        <w:t>所称</w:t>
      </w:r>
      <w:r>
        <w:rPr>
          <w:rFonts w:hint="eastAsia" w:ascii="Times New Roman" w:hAnsi="Times New Roman" w:eastAsia="仿宋_GB2312"/>
          <w:sz w:val="32"/>
          <w:szCs w:val="32"/>
          <w:lang w:eastAsia="zh-CN"/>
        </w:rPr>
        <w:t>“</w:t>
      </w:r>
      <w:r>
        <w:rPr>
          <w:rFonts w:ascii="Times New Roman" w:hAnsi="Times New Roman" w:eastAsia="仿宋_GB2312"/>
          <w:sz w:val="32"/>
          <w:szCs w:val="32"/>
        </w:rPr>
        <w:t>幼儿园</w:t>
      </w:r>
      <w:r>
        <w:rPr>
          <w:rFonts w:hint="eastAsia" w:ascii="Times New Roman" w:hAnsi="Times New Roman" w:eastAsia="仿宋_GB2312"/>
          <w:sz w:val="32"/>
          <w:szCs w:val="32"/>
          <w:lang w:eastAsia="zh-CN"/>
        </w:rPr>
        <w:t>”</w:t>
      </w:r>
      <w:r>
        <w:rPr>
          <w:rFonts w:ascii="Times New Roman" w:hAnsi="Times New Roman" w:eastAsia="仿宋_GB2312"/>
          <w:sz w:val="32"/>
          <w:szCs w:val="32"/>
        </w:rPr>
        <w:t>是</w:t>
      </w:r>
      <w:r>
        <w:rPr>
          <w:rFonts w:hint="eastAsia" w:ascii="Times New Roman" w:hAnsi="Times New Roman" w:eastAsia="仿宋_GB2312"/>
          <w:sz w:val="32"/>
          <w:szCs w:val="32"/>
        </w:rPr>
        <w:t>指</w:t>
      </w:r>
      <w:r>
        <w:rPr>
          <w:rFonts w:ascii="Times New Roman" w:hAnsi="Times New Roman" w:eastAsia="仿宋_GB2312"/>
          <w:sz w:val="32"/>
          <w:szCs w:val="32"/>
        </w:rPr>
        <w:t xml:space="preserve">对3周岁以上学龄前幼儿实施保育和教育的机构。幼儿园教育是基础教育的重要组成部分，是学校教育制度的基础阶段。（详见《幼儿园工作规程》，中华人民共和国教育部令第39号，自2016年3月1日起施行）。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楷体_GB2312"/>
          <w:bCs/>
          <w:kern w:val="0"/>
          <w:sz w:val="32"/>
          <w:szCs w:val="32"/>
          <w:shd w:val="clear" w:color="auto" w:fill="FFFFFF"/>
        </w:rPr>
        <w:t>第</w:t>
      </w:r>
      <w:r>
        <w:rPr>
          <w:rFonts w:hint="eastAsia" w:ascii="Times New Roman" w:hAnsi="Times New Roman" w:eastAsia="楷体_GB2312"/>
          <w:bCs/>
          <w:kern w:val="0"/>
          <w:sz w:val="32"/>
          <w:szCs w:val="32"/>
          <w:shd w:val="clear" w:color="auto" w:fill="FFFFFF"/>
        </w:rPr>
        <w:t>二十</w:t>
      </w:r>
      <w:r>
        <w:rPr>
          <w:rFonts w:ascii="Times New Roman" w:hAnsi="Times New Roman" w:eastAsia="楷体_GB2312"/>
          <w:bCs/>
          <w:kern w:val="0"/>
          <w:sz w:val="32"/>
          <w:szCs w:val="32"/>
          <w:shd w:val="clear" w:color="auto" w:fill="FFFFFF"/>
        </w:rPr>
        <w:t>条</w:t>
      </w:r>
      <w:r>
        <w:rPr>
          <w:rFonts w:ascii="Times New Roman" w:hAnsi="Times New Roman" w:eastAsia="仿宋_GB2312"/>
          <w:sz w:val="32"/>
          <w:szCs w:val="32"/>
        </w:rPr>
        <w:t xml:space="preserve"> 本规</w:t>
      </w:r>
      <w:r>
        <w:rPr>
          <w:rFonts w:hint="eastAsia" w:ascii="Times New Roman" w:hAnsi="Times New Roman" w:eastAsia="仿宋_GB2312"/>
          <w:sz w:val="32"/>
          <w:szCs w:val="32"/>
          <w:lang w:eastAsia="zh-CN"/>
        </w:rPr>
        <w:t>定</w:t>
      </w:r>
      <w:r>
        <w:rPr>
          <w:rFonts w:ascii="Times New Roman" w:hAnsi="Times New Roman" w:eastAsia="仿宋_GB2312"/>
          <w:sz w:val="32"/>
          <w:szCs w:val="32"/>
        </w:rPr>
        <w:t>所称宾馆酒店客房数量以相关机构认定的客房数量为准。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楷体_GB2312"/>
          <w:bCs/>
          <w:kern w:val="0"/>
          <w:sz w:val="32"/>
          <w:szCs w:val="32"/>
          <w:shd w:val="clear" w:color="auto" w:fill="FFFFFF"/>
        </w:rPr>
        <w:t>第</w:t>
      </w:r>
      <w:r>
        <w:rPr>
          <w:rFonts w:hint="eastAsia" w:ascii="Times New Roman" w:hAnsi="Times New Roman" w:eastAsia="楷体_GB2312"/>
          <w:bCs/>
          <w:kern w:val="0"/>
          <w:sz w:val="32"/>
          <w:szCs w:val="32"/>
          <w:shd w:val="clear" w:color="auto" w:fill="FFFFFF"/>
        </w:rPr>
        <w:t>二十</w:t>
      </w:r>
      <w:r>
        <w:rPr>
          <w:rFonts w:hint="eastAsia" w:ascii="Times New Roman" w:hAnsi="Times New Roman" w:eastAsia="楷体_GB2312"/>
          <w:bCs/>
          <w:kern w:val="0"/>
          <w:sz w:val="32"/>
          <w:szCs w:val="32"/>
          <w:shd w:val="clear" w:color="auto" w:fill="FFFFFF"/>
          <w:lang w:eastAsia="zh-CN"/>
        </w:rPr>
        <w:t>一</w:t>
      </w:r>
      <w:r>
        <w:rPr>
          <w:rFonts w:ascii="Times New Roman" w:hAnsi="Times New Roman" w:eastAsia="楷体_GB2312"/>
          <w:bCs/>
          <w:kern w:val="0"/>
          <w:sz w:val="32"/>
          <w:szCs w:val="32"/>
          <w:shd w:val="clear" w:color="auto" w:fill="FFFFFF"/>
        </w:rPr>
        <w:t>条</w:t>
      </w:r>
      <w:r>
        <w:rPr>
          <w:rFonts w:ascii="Times New Roman" w:hAnsi="Times New Roman" w:eastAsia="仿宋_GB2312"/>
          <w:sz w:val="32"/>
          <w:szCs w:val="32"/>
        </w:rPr>
        <w:t xml:space="preserve"> 本规</w:t>
      </w:r>
      <w:r>
        <w:rPr>
          <w:rFonts w:hint="eastAsia" w:ascii="Times New Roman" w:hAnsi="Times New Roman" w:eastAsia="仿宋_GB2312"/>
          <w:sz w:val="32"/>
          <w:szCs w:val="32"/>
          <w:lang w:eastAsia="zh-CN"/>
        </w:rPr>
        <w:t>定</w:t>
      </w:r>
      <w:r>
        <w:rPr>
          <w:rFonts w:ascii="Times New Roman" w:hAnsi="Times New Roman" w:eastAsia="仿宋_GB2312"/>
          <w:sz w:val="32"/>
          <w:szCs w:val="32"/>
        </w:rPr>
        <w:t>所称的</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以</w:t>
      </w:r>
      <w:r>
        <w:rPr>
          <w:rFonts w:ascii="Times New Roman" w:hAnsi="Times New Roman" w:eastAsia="仿宋_GB2312"/>
          <w:sz w:val="32"/>
          <w:szCs w:val="32"/>
        </w:rPr>
        <w:t>内</w:t>
      </w:r>
      <w:r>
        <w:rPr>
          <w:rFonts w:hint="eastAsia" w:ascii="Times New Roman" w:hAnsi="Times New Roman" w:eastAsia="仿宋_GB2312"/>
          <w:sz w:val="32"/>
          <w:szCs w:val="32"/>
          <w:lang w:eastAsia="zh-CN"/>
        </w:rPr>
        <w:t>”</w:t>
      </w:r>
      <w:r>
        <w:rPr>
          <w:rFonts w:ascii="Times New Roman" w:hAnsi="Times New Roman" w:eastAsia="仿宋_GB2312"/>
          <w:sz w:val="32"/>
          <w:szCs w:val="32"/>
        </w:rPr>
        <w:t>、</w:t>
      </w:r>
      <w:r>
        <w:rPr>
          <w:rFonts w:hint="eastAsia" w:ascii="Times New Roman" w:hAnsi="Times New Roman" w:eastAsia="仿宋_GB2312"/>
          <w:sz w:val="32"/>
          <w:szCs w:val="32"/>
          <w:lang w:eastAsia="zh-CN"/>
        </w:rPr>
        <w:t>“</w:t>
      </w:r>
      <w:r>
        <w:rPr>
          <w:rFonts w:ascii="Times New Roman" w:hAnsi="Times New Roman" w:eastAsia="仿宋_GB2312"/>
          <w:sz w:val="32"/>
          <w:szCs w:val="32"/>
        </w:rPr>
        <w:t>以上</w:t>
      </w:r>
      <w:r>
        <w:rPr>
          <w:rFonts w:hint="eastAsia" w:ascii="Times New Roman" w:hAnsi="Times New Roman" w:eastAsia="仿宋_GB2312"/>
          <w:sz w:val="32"/>
          <w:szCs w:val="32"/>
          <w:lang w:eastAsia="zh-CN"/>
        </w:rPr>
        <w:t>”</w:t>
      </w:r>
      <w:r>
        <w:rPr>
          <w:rFonts w:ascii="Times New Roman" w:hAnsi="Times New Roman" w:eastAsia="仿宋_GB2312"/>
          <w:sz w:val="32"/>
          <w:szCs w:val="32"/>
        </w:rPr>
        <w:t>、</w:t>
      </w:r>
      <w:r>
        <w:rPr>
          <w:rFonts w:hint="eastAsia" w:ascii="Times New Roman" w:hAnsi="Times New Roman" w:eastAsia="仿宋_GB2312"/>
          <w:sz w:val="32"/>
          <w:szCs w:val="32"/>
          <w:lang w:eastAsia="zh-CN"/>
        </w:rPr>
        <w:t>“</w:t>
      </w:r>
      <w:r>
        <w:rPr>
          <w:rFonts w:ascii="Times New Roman" w:hAnsi="Times New Roman" w:eastAsia="仿宋_GB2312"/>
          <w:sz w:val="32"/>
          <w:szCs w:val="32"/>
        </w:rPr>
        <w:t>不低于</w:t>
      </w:r>
      <w:r>
        <w:rPr>
          <w:rFonts w:hint="eastAsia" w:ascii="Times New Roman" w:hAnsi="Times New Roman" w:eastAsia="仿宋_GB2312"/>
          <w:sz w:val="32"/>
          <w:szCs w:val="32"/>
          <w:lang w:eastAsia="zh-CN"/>
        </w:rPr>
        <w:t>”</w:t>
      </w:r>
      <w:r>
        <w:rPr>
          <w:rFonts w:ascii="Times New Roman" w:hAnsi="Times New Roman" w:eastAsia="仿宋_GB2312"/>
          <w:sz w:val="32"/>
          <w:szCs w:val="32"/>
        </w:rPr>
        <w:t>、</w:t>
      </w:r>
      <w:r>
        <w:rPr>
          <w:rFonts w:hint="eastAsia" w:ascii="Times New Roman" w:hAnsi="Times New Roman" w:eastAsia="仿宋_GB2312"/>
          <w:sz w:val="32"/>
          <w:szCs w:val="32"/>
          <w:lang w:eastAsia="zh-CN"/>
        </w:rPr>
        <w:t>“</w:t>
      </w:r>
      <w:r>
        <w:rPr>
          <w:rFonts w:ascii="Times New Roman" w:hAnsi="Times New Roman" w:eastAsia="仿宋_GB2312"/>
          <w:sz w:val="32"/>
          <w:szCs w:val="32"/>
        </w:rPr>
        <w:t>不超过</w:t>
      </w:r>
      <w:r>
        <w:rPr>
          <w:rFonts w:hint="eastAsia" w:ascii="Times New Roman" w:hAnsi="Times New Roman" w:eastAsia="仿宋_GB2312"/>
          <w:sz w:val="32"/>
          <w:szCs w:val="32"/>
          <w:lang w:eastAsia="zh-CN"/>
        </w:rPr>
        <w:t>”</w:t>
      </w:r>
      <w:r>
        <w:rPr>
          <w:rFonts w:ascii="Times New Roman" w:hAnsi="Times New Roman" w:eastAsia="仿宋_GB2312"/>
          <w:sz w:val="32"/>
          <w:szCs w:val="32"/>
        </w:rPr>
        <w:t>均</w:t>
      </w:r>
      <w:r>
        <w:rPr>
          <w:rFonts w:hint="eastAsia" w:ascii="Times New Roman" w:hAnsi="Times New Roman" w:eastAsia="仿宋_GB2312"/>
          <w:sz w:val="32"/>
          <w:szCs w:val="32"/>
        </w:rPr>
        <w:t>包</w:t>
      </w:r>
      <w:r>
        <w:rPr>
          <w:rFonts w:ascii="Times New Roman" w:hAnsi="Times New Roman" w:eastAsia="仿宋_GB2312"/>
          <w:sz w:val="32"/>
          <w:szCs w:val="32"/>
        </w:rPr>
        <w:t>含本数。</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楷体_GB2312"/>
          <w:bCs/>
          <w:kern w:val="0"/>
          <w:sz w:val="32"/>
          <w:szCs w:val="32"/>
          <w:shd w:val="clear" w:color="auto" w:fill="FFFFFF"/>
        </w:rPr>
      </w:pPr>
      <w:r>
        <w:rPr>
          <w:rFonts w:ascii="Times New Roman" w:hAnsi="Times New Roman" w:eastAsia="楷体_GB2312"/>
          <w:bCs/>
          <w:kern w:val="0"/>
          <w:sz w:val="32"/>
          <w:szCs w:val="32"/>
          <w:shd w:val="clear" w:color="auto" w:fill="FFFFFF"/>
        </w:rPr>
        <w:t>第</w:t>
      </w:r>
      <w:r>
        <w:rPr>
          <w:rFonts w:hint="eastAsia" w:ascii="Times New Roman" w:hAnsi="Times New Roman" w:eastAsia="楷体_GB2312"/>
          <w:bCs/>
          <w:kern w:val="0"/>
          <w:sz w:val="32"/>
          <w:szCs w:val="32"/>
          <w:shd w:val="clear" w:color="auto" w:fill="FFFFFF"/>
        </w:rPr>
        <w:t>二十</w:t>
      </w:r>
      <w:r>
        <w:rPr>
          <w:rFonts w:hint="eastAsia" w:ascii="Times New Roman" w:hAnsi="Times New Roman" w:eastAsia="楷体_GB2312"/>
          <w:bCs/>
          <w:kern w:val="0"/>
          <w:sz w:val="32"/>
          <w:szCs w:val="32"/>
          <w:shd w:val="clear" w:color="auto" w:fill="FFFFFF"/>
          <w:lang w:eastAsia="zh-CN"/>
        </w:rPr>
        <w:t>二</w:t>
      </w:r>
      <w:r>
        <w:rPr>
          <w:rFonts w:ascii="Times New Roman" w:hAnsi="Times New Roman" w:eastAsia="楷体_GB2312"/>
          <w:bCs/>
          <w:kern w:val="0"/>
          <w:sz w:val="32"/>
          <w:szCs w:val="32"/>
          <w:shd w:val="clear" w:color="auto" w:fill="FFFFFF"/>
        </w:rPr>
        <w:t>条</w:t>
      </w:r>
      <w:r>
        <w:rPr>
          <w:rFonts w:ascii="Times New Roman" w:hAnsi="Times New Roman" w:eastAsia="仿宋_GB2312"/>
          <w:sz w:val="32"/>
          <w:szCs w:val="32"/>
        </w:rPr>
        <w:t xml:space="preserve"> 本规</w:t>
      </w:r>
      <w:r>
        <w:rPr>
          <w:rFonts w:hint="eastAsia" w:ascii="Times New Roman" w:hAnsi="Times New Roman" w:eastAsia="仿宋_GB2312"/>
          <w:sz w:val="32"/>
          <w:szCs w:val="32"/>
          <w:lang w:eastAsia="zh-CN"/>
        </w:rPr>
        <w:t>定</w:t>
      </w:r>
      <w:r>
        <w:rPr>
          <w:rFonts w:ascii="Times New Roman" w:hAnsi="Times New Roman" w:eastAsia="仿宋_GB2312"/>
          <w:sz w:val="32"/>
          <w:szCs w:val="32"/>
        </w:rPr>
        <w:t>由</w:t>
      </w:r>
      <w:r>
        <w:rPr>
          <w:rFonts w:hint="eastAsia" w:ascii="Times New Roman" w:hAnsi="Times New Roman" w:eastAsia="仿宋_GB2312"/>
          <w:sz w:val="32"/>
          <w:szCs w:val="32"/>
          <w:lang w:eastAsia="zh-CN"/>
        </w:rPr>
        <w:t>伊川县</w:t>
      </w:r>
      <w:r>
        <w:rPr>
          <w:rFonts w:ascii="Times New Roman" w:hAnsi="Times New Roman" w:eastAsia="仿宋_GB2312"/>
          <w:sz w:val="32"/>
          <w:szCs w:val="32"/>
        </w:rPr>
        <w:t>烟草专卖局负责解释。</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楷体_GB2312"/>
          <w:bCs/>
          <w:kern w:val="0"/>
          <w:sz w:val="32"/>
          <w:szCs w:val="32"/>
          <w:shd w:val="clear" w:color="auto" w:fill="FFFFFF"/>
        </w:rPr>
        <w:t>第二十</w:t>
      </w:r>
      <w:r>
        <w:rPr>
          <w:rFonts w:hint="eastAsia" w:ascii="Times New Roman" w:hAnsi="Times New Roman" w:eastAsia="楷体_GB2312"/>
          <w:bCs/>
          <w:kern w:val="0"/>
          <w:sz w:val="32"/>
          <w:szCs w:val="32"/>
          <w:shd w:val="clear" w:color="auto" w:fill="FFFFFF"/>
          <w:lang w:eastAsia="zh-CN"/>
        </w:rPr>
        <w:t>三</w:t>
      </w:r>
      <w:r>
        <w:rPr>
          <w:rFonts w:ascii="Times New Roman" w:hAnsi="Times New Roman" w:eastAsia="楷体_GB2312"/>
          <w:bCs/>
          <w:kern w:val="0"/>
          <w:sz w:val="32"/>
          <w:szCs w:val="32"/>
          <w:shd w:val="clear" w:color="auto" w:fill="FFFFFF"/>
        </w:rPr>
        <w:t>条</w:t>
      </w:r>
      <w:r>
        <w:rPr>
          <w:rFonts w:ascii="Times New Roman" w:hAnsi="Times New Roman" w:eastAsia="仿宋_GB2312"/>
          <w:sz w:val="32"/>
          <w:szCs w:val="32"/>
        </w:rPr>
        <w:t xml:space="preserve"> 本规</w:t>
      </w:r>
      <w:r>
        <w:rPr>
          <w:rFonts w:hint="eastAsia" w:ascii="Times New Roman" w:hAnsi="Times New Roman" w:eastAsia="仿宋_GB2312"/>
          <w:sz w:val="32"/>
          <w:szCs w:val="32"/>
          <w:lang w:eastAsia="zh-CN"/>
        </w:rPr>
        <w:t>定</w:t>
      </w:r>
      <w:r>
        <w:rPr>
          <w:rFonts w:ascii="Times New Roman" w:hAnsi="Times New Roman" w:eastAsia="仿宋_GB2312"/>
          <w:sz w:val="32"/>
          <w:szCs w:val="32"/>
        </w:rPr>
        <w:t>自发布之日起</w:t>
      </w:r>
      <w:r>
        <w:rPr>
          <w:rFonts w:hint="eastAsia" w:ascii="Times New Roman" w:hAnsi="Times New Roman" w:eastAsia="仿宋_GB2312"/>
          <w:sz w:val="32"/>
          <w:szCs w:val="32"/>
        </w:rPr>
        <w:t>施行</w:t>
      </w:r>
      <w:r>
        <w:rPr>
          <w:rFonts w:ascii="Times New Roman" w:hAnsi="Times New Roman" w:eastAsia="仿宋_GB2312"/>
          <w:sz w:val="32"/>
          <w:szCs w:val="32"/>
        </w:rPr>
        <w:t>，有效期为5年。原《</w:t>
      </w:r>
      <w:r>
        <w:rPr>
          <w:rFonts w:hint="eastAsia" w:ascii="Times New Roman" w:hAnsi="Times New Roman" w:eastAsia="仿宋_GB2312"/>
          <w:sz w:val="32"/>
          <w:szCs w:val="32"/>
          <w:lang w:val="en-US" w:eastAsia="zh-CN"/>
        </w:rPr>
        <w:t>伊川县</w:t>
      </w:r>
      <w:r>
        <w:rPr>
          <w:rFonts w:ascii="Times New Roman" w:hAnsi="Times New Roman" w:eastAsia="仿宋_GB2312"/>
          <w:sz w:val="32"/>
          <w:szCs w:val="32"/>
        </w:rPr>
        <w:t>烟草制品零售点合理布局规定》（</w:t>
      </w:r>
      <w:r>
        <w:rPr>
          <w:rFonts w:hint="eastAsia" w:ascii="Times New Roman" w:hAnsi="Times New Roman" w:eastAsia="仿宋_GB2312"/>
          <w:sz w:val="32"/>
          <w:szCs w:val="32"/>
          <w:lang w:val="en-US" w:eastAsia="zh-CN"/>
        </w:rPr>
        <w:t>伊</w:t>
      </w:r>
      <w:r>
        <w:rPr>
          <w:rFonts w:ascii="Times New Roman" w:hAnsi="Times New Roman" w:eastAsia="仿宋_GB2312"/>
          <w:sz w:val="32"/>
          <w:szCs w:val="32"/>
        </w:rPr>
        <w:t>烟〔2021〕</w:t>
      </w:r>
      <w:r>
        <w:rPr>
          <w:rFonts w:hint="eastAsia" w:ascii="Times New Roman" w:hAnsi="Times New Roman" w:eastAsia="仿宋_GB2312"/>
          <w:sz w:val="32"/>
          <w:szCs w:val="32"/>
          <w:lang w:val="en-US" w:eastAsia="zh-CN"/>
        </w:rPr>
        <w:t>36</w:t>
      </w:r>
      <w:r>
        <w:rPr>
          <w:rFonts w:ascii="Times New Roman" w:hAnsi="Times New Roman" w:eastAsia="仿宋_GB2312"/>
          <w:sz w:val="32"/>
          <w:szCs w:val="32"/>
        </w:rPr>
        <w:t>号）同时废止。</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sz w:val="32"/>
          <w:szCs w:val="32"/>
        </w:rPr>
      </w:pPr>
      <w:r>
        <w:rPr>
          <w:rFonts w:ascii="Times New Roman" w:hAnsi="Times New Roman" w:eastAsia="仿宋_GB2312"/>
          <w:sz w:val="32"/>
          <w:szCs w:val="32"/>
        </w:rPr>
        <w:t xml:space="preserve"> </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ascii="Times New Roman" w:hAnsi="Times New Roman" w:eastAsia="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附件:</w:t>
      </w:r>
      <w:r>
        <w:rPr>
          <w:rFonts w:ascii="Times New Roman" w:hAnsi="Times New Roman" w:eastAsia="仿宋_GB2312"/>
          <w:kern w:val="0"/>
          <w:sz w:val="32"/>
          <w:szCs w:val="32"/>
          <w:shd w:val="clear" w:color="auto" w:fill="FFFFFF"/>
        </w:rPr>
        <w:t>1.</w:t>
      </w:r>
      <w:r>
        <w:rPr>
          <w:rFonts w:hint="eastAsia" w:ascii="Times New Roman" w:hAnsi="Times New Roman" w:eastAsia="仿宋_GB2312"/>
          <w:kern w:val="0"/>
          <w:sz w:val="32"/>
          <w:szCs w:val="32"/>
          <w:shd w:val="clear" w:color="auto" w:fill="FFFFFF"/>
          <w:lang w:val="en-US" w:eastAsia="zh-CN"/>
        </w:rPr>
        <w:t>伊川县</w:t>
      </w:r>
      <w:r>
        <w:rPr>
          <w:rFonts w:ascii="Times New Roman" w:hAnsi="Times New Roman" w:eastAsia="仿宋_GB2312"/>
          <w:kern w:val="0"/>
          <w:sz w:val="32"/>
          <w:szCs w:val="32"/>
          <w:shd w:val="clear" w:color="auto" w:fill="FFFFFF"/>
        </w:rPr>
        <w:t>烟草制品零售点经营场所间距测量标准</w:t>
      </w:r>
    </w:p>
    <w:p>
      <w:pPr>
        <w:pStyle w:val="2"/>
        <w:keepNext w:val="0"/>
        <w:keepLines w:val="0"/>
        <w:pageBreakBefore w:val="0"/>
        <w:kinsoku/>
        <w:wordWrap/>
        <w:overflowPunct/>
        <w:topLinePunct w:val="0"/>
        <w:autoSpaceDE/>
        <w:autoSpaceDN/>
        <w:bidi w:val="0"/>
        <w:adjustRightInd/>
        <w:snapToGrid/>
        <w:spacing w:after="0" w:line="580" w:lineRule="exact"/>
        <w:ind w:firstLine="640" w:firstLineChars="200"/>
        <w:jc w:val="left"/>
        <w:textAlignment w:val="auto"/>
        <w:rPr>
          <w:rFonts w:ascii="Times New Roman" w:hAnsi="Times New Roman" w:eastAsia="仿宋_GB2312"/>
          <w:kern w:val="0"/>
          <w:sz w:val="32"/>
          <w:szCs w:val="32"/>
          <w:shd w:val="clear" w:color="auto" w:fill="FFFFFF"/>
        </w:rPr>
      </w:pPr>
      <w:r>
        <w:rPr>
          <w:rFonts w:ascii="Times New Roman" w:hAnsi="Times New Roman" w:eastAsia="仿宋_GB2312"/>
          <w:sz w:val="32"/>
          <w:szCs w:val="32"/>
        </w:rPr>
        <w:t xml:space="preserve">     </w:t>
      </w:r>
      <w:r>
        <w:rPr>
          <w:rFonts w:ascii="Times New Roman" w:hAnsi="Times New Roman" w:eastAsia="仿宋_GB2312"/>
          <w:kern w:val="0"/>
          <w:sz w:val="32"/>
          <w:szCs w:val="32"/>
          <w:shd w:val="clear" w:color="auto" w:fill="FFFFFF"/>
        </w:rPr>
        <w:t>2.</w:t>
      </w:r>
      <w:r>
        <w:rPr>
          <w:rFonts w:hint="eastAsia" w:ascii="Times New Roman" w:hAnsi="Times New Roman" w:eastAsia="仿宋_GB2312"/>
          <w:kern w:val="0"/>
          <w:sz w:val="32"/>
          <w:szCs w:val="32"/>
          <w:shd w:val="clear" w:color="auto" w:fill="FFFFFF"/>
          <w:lang w:val="en-US" w:eastAsia="zh-CN"/>
        </w:rPr>
        <w:t>伊川县</w:t>
      </w:r>
      <w:r>
        <w:rPr>
          <w:rFonts w:ascii="Times New Roman" w:hAnsi="Times New Roman" w:eastAsia="仿宋_GB2312"/>
          <w:kern w:val="0"/>
          <w:sz w:val="32"/>
          <w:szCs w:val="32"/>
          <w:shd w:val="clear" w:color="auto" w:fill="FFFFFF"/>
        </w:rPr>
        <w:t>市场单元</w:t>
      </w:r>
      <w:r>
        <w:rPr>
          <w:rFonts w:hint="eastAsia" w:ascii="Times New Roman" w:hAnsi="Times New Roman" w:eastAsia="仿宋_GB2312"/>
          <w:kern w:val="0"/>
          <w:sz w:val="32"/>
          <w:szCs w:val="32"/>
          <w:shd w:val="clear" w:color="auto" w:fill="FFFFFF"/>
        </w:rPr>
        <w:t>零售点指导数</w:t>
      </w:r>
      <w:r>
        <w:rPr>
          <w:rFonts w:ascii="Times New Roman" w:hAnsi="Times New Roman" w:eastAsia="仿宋_GB2312"/>
          <w:kern w:val="0"/>
          <w:sz w:val="32"/>
          <w:szCs w:val="32"/>
          <w:shd w:val="clear" w:color="auto" w:fill="FFFFFF"/>
        </w:rPr>
        <w:t>目录</w:t>
      </w:r>
    </w:p>
    <w:p>
      <w:pPr>
        <w:spacing w:line="580" w:lineRule="exact"/>
        <w:ind w:firstLine="640" w:firstLineChars="200"/>
        <w:rPr>
          <w:rFonts w:ascii="Times New Roman" w:hAnsi="Times New Roman" w:eastAsia="楷体_GB2312"/>
          <w:bCs/>
          <w:kern w:val="0"/>
          <w:sz w:val="32"/>
          <w:szCs w:val="32"/>
          <w:shd w:val="clear" w:color="auto" w:fill="FFFFFF"/>
        </w:rPr>
      </w:pPr>
    </w:p>
    <w:p>
      <w:pPr>
        <w:pStyle w:val="2"/>
        <w:rPr>
          <w:rFonts w:ascii="Times New Roman" w:hAnsi="Times New Roman" w:eastAsia="楷体_GB2312"/>
          <w:bCs/>
          <w:kern w:val="0"/>
          <w:sz w:val="32"/>
          <w:szCs w:val="32"/>
          <w:shd w:val="clear" w:color="auto" w:fill="FFFFFF"/>
        </w:rPr>
      </w:pPr>
    </w:p>
    <w:p>
      <w:pPr>
        <w:pStyle w:val="2"/>
        <w:rPr>
          <w:rFonts w:ascii="Times New Roman" w:hAnsi="Times New Roman" w:eastAsia="楷体_GB2312"/>
          <w:bCs/>
          <w:kern w:val="0"/>
          <w:sz w:val="32"/>
          <w:szCs w:val="32"/>
          <w:shd w:val="clear" w:color="auto" w:fill="FFFFFF"/>
        </w:rPr>
      </w:pPr>
    </w:p>
    <w:p>
      <w:pPr>
        <w:pStyle w:val="2"/>
        <w:rPr>
          <w:rFonts w:ascii="Times New Roman" w:hAnsi="Times New Roman" w:eastAsia="楷体_GB2312"/>
          <w:bCs/>
          <w:kern w:val="0"/>
          <w:sz w:val="32"/>
          <w:szCs w:val="32"/>
          <w:shd w:val="clear" w:color="auto" w:fill="FFFFFF"/>
        </w:rPr>
      </w:pPr>
    </w:p>
    <w:p>
      <w:pPr>
        <w:pStyle w:val="2"/>
        <w:tabs>
          <w:tab w:val="left" w:pos="6040"/>
        </w:tabs>
        <w:ind w:firstLine="5440" w:firstLineChars="1700"/>
        <w:rPr>
          <w:rFonts w:ascii="Times New Roman" w:hAnsi="Times New Roman" w:eastAsia="楷体_GB2312"/>
          <w:bCs/>
          <w:kern w:val="0"/>
          <w:sz w:val="32"/>
          <w:szCs w:val="32"/>
          <w:shd w:val="clear" w:color="auto" w:fill="FFFFFF"/>
        </w:rPr>
      </w:pPr>
    </w:p>
    <w:p>
      <w:pPr>
        <w:pStyle w:val="2"/>
        <w:rPr>
          <w:rFonts w:ascii="Times New Roman" w:hAnsi="Times New Roman" w:eastAsia="楷体_GB2312"/>
          <w:bCs/>
          <w:kern w:val="0"/>
          <w:sz w:val="32"/>
          <w:szCs w:val="32"/>
          <w:shd w:val="clear" w:color="auto" w:fill="FFFFFF"/>
        </w:rPr>
      </w:pPr>
    </w:p>
    <w:p>
      <w:pPr>
        <w:pStyle w:val="2"/>
        <w:rPr>
          <w:rFonts w:ascii="Times New Roman" w:hAnsi="Times New Roman" w:eastAsia="楷体_GB2312"/>
          <w:bCs/>
          <w:kern w:val="0"/>
          <w:sz w:val="32"/>
          <w:szCs w:val="32"/>
          <w:shd w:val="clear" w:color="auto" w:fill="FFFFFF"/>
        </w:rPr>
      </w:pPr>
    </w:p>
    <w:p>
      <w:pPr>
        <w:widowControl/>
        <w:jc w:val="left"/>
        <w:rPr>
          <w:rFonts w:ascii="黑体" w:hAnsi="黑体" w:eastAsia="黑体" w:cs="仿宋"/>
          <w:color w:val="000000"/>
          <w:sz w:val="32"/>
          <w:szCs w:val="32"/>
          <w:shd w:val="clear" w:color="auto" w:fill="FFFFFF"/>
        </w:rPr>
      </w:pPr>
      <w:r>
        <w:rPr>
          <w:rFonts w:hint="eastAsia" w:ascii="黑体" w:hAnsi="黑体" w:eastAsia="黑体" w:cs="仿宋"/>
          <w:color w:val="000000"/>
          <w:sz w:val="32"/>
          <w:szCs w:val="32"/>
          <w:shd w:val="clear" w:color="auto" w:fill="FFFFFF"/>
        </w:rPr>
        <w:t>附件1</w:t>
      </w:r>
    </w:p>
    <w:p>
      <w:pPr>
        <w:pStyle w:val="6"/>
        <w:shd w:val="clear" w:color="auto" w:fill="auto"/>
        <w:spacing w:before="0" w:beforeAutospacing="0" w:after="0" w:afterAutospacing="0" w:line="576" w:lineRule="exact"/>
        <w:jc w:val="center"/>
        <w:rPr>
          <w:rFonts w:ascii="方正小标宋简体" w:hAnsi="仿宋" w:eastAsia="方正小标宋简体" w:cs="仿宋"/>
          <w:color w:val="auto"/>
          <w:sz w:val="44"/>
          <w:szCs w:val="44"/>
          <w:shd w:val="clear" w:color="auto" w:fill="FFFFFF"/>
        </w:rPr>
      </w:pPr>
      <w:r>
        <w:rPr>
          <w:rFonts w:hint="eastAsia" w:ascii="方正小标宋简体" w:hAnsi="仿宋" w:eastAsia="方正小标宋简体" w:cs="仿宋"/>
          <w:color w:val="auto"/>
          <w:sz w:val="44"/>
          <w:szCs w:val="44"/>
          <w:shd w:val="clear" w:color="auto" w:fill="FFFFFF"/>
          <w:lang w:val="en-US" w:eastAsia="zh-CN"/>
        </w:rPr>
        <w:t>伊川县</w:t>
      </w:r>
      <w:r>
        <w:rPr>
          <w:rFonts w:hint="eastAsia" w:ascii="方正小标宋简体" w:hAnsi="仿宋" w:eastAsia="方正小标宋简体" w:cs="仿宋"/>
          <w:color w:val="auto"/>
          <w:sz w:val="44"/>
          <w:szCs w:val="44"/>
          <w:shd w:val="clear" w:color="auto" w:fill="FFFFFF"/>
        </w:rPr>
        <w:t>烟草制品零售点</w:t>
      </w:r>
    </w:p>
    <w:p>
      <w:pPr>
        <w:pStyle w:val="6"/>
        <w:shd w:val="clear" w:color="auto" w:fill="auto"/>
        <w:spacing w:before="0" w:beforeAutospacing="0" w:after="0" w:afterAutospacing="0" w:line="576" w:lineRule="exact"/>
        <w:jc w:val="center"/>
        <w:rPr>
          <w:rFonts w:ascii="方正小标宋简体" w:hAnsi="仿宋" w:eastAsia="方正小标宋简体" w:cs="仿宋"/>
          <w:color w:val="000000"/>
          <w:sz w:val="44"/>
          <w:szCs w:val="44"/>
          <w:shd w:val="clear" w:color="auto" w:fill="FFFFFF"/>
        </w:rPr>
      </w:pPr>
      <w:r>
        <w:rPr>
          <w:rFonts w:hint="eastAsia" w:ascii="方正小标宋简体" w:hAnsi="仿宋" w:eastAsia="方正小标宋简体" w:cs="仿宋"/>
          <w:color w:val="auto"/>
          <w:sz w:val="44"/>
          <w:szCs w:val="44"/>
          <w:shd w:val="clear" w:color="auto" w:fill="FFFFFF"/>
        </w:rPr>
        <w:t>经营场</w:t>
      </w:r>
      <w:r>
        <w:rPr>
          <w:rFonts w:hint="eastAsia" w:ascii="方正小标宋简体" w:hAnsi="仿宋" w:eastAsia="方正小标宋简体" w:cs="仿宋"/>
          <w:color w:val="000000"/>
          <w:sz w:val="44"/>
          <w:szCs w:val="44"/>
          <w:shd w:val="clear" w:color="auto" w:fill="FFFFFF"/>
        </w:rPr>
        <w:t>所</w:t>
      </w:r>
      <w:r>
        <w:rPr>
          <w:rFonts w:hint="eastAsia" w:ascii="方正小标宋简体" w:hAnsi="仿宋" w:eastAsia="方正小标宋简体" w:cs="仿宋"/>
          <w:color w:val="000000"/>
          <w:sz w:val="44"/>
          <w:szCs w:val="44"/>
          <w:shd w:val="clear" w:color="auto" w:fill="FFFFFF"/>
          <w:lang w:val="en-US" w:eastAsia="zh-CN"/>
        </w:rPr>
        <w:t>间距测量</w:t>
      </w:r>
      <w:r>
        <w:rPr>
          <w:rFonts w:hint="eastAsia" w:ascii="方正小标宋简体" w:hAnsi="仿宋" w:eastAsia="方正小标宋简体" w:cs="仿宋"/>
          <w:color w:val="000000"/>
          <w:sz w:val="44"/>
          <w:szCs w:val="44"/>
          <w:shd w:val="clear" w:color="auto" w:fill="FFFFFF"/>
        </w:rPr>
        <w:t>标准</w:t>
      </w:r>
    </w:p>
    <w:p>
      <w:pPr>
        <w:spacing w:line="580" w:lineRule="exact"/>
        <w:ind w:left="640"/>
        <w:rPr>
          <w:rFonts w:ascii="仿宋" w:hAnsi="仿宋" w:eastAsia="仿宋" w:cs="仿宋"/>
          <w:color w:val="000000"/>
          <w:sz w:val="32"/>
          <w:szCs w:val="32"/>
        </w:rPr>
      </w:pP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规定》中“距离、间距”指新申请方与测量参照物之间,按“边对边”原则测量的可通行最短距离。测量参照物指周边最近的持证零售户或中小学校、幼儿园学生通勤出入口。现场核查新申请方与参照物之间的测量以“不违反交通规定、可通行最短距离”为总体原则。具体场所测量示意图如下：</w:t>
      </w:r>
    </w:p>
    <w:p>
      <w:pPr>
        <w:spacing w:line="580" w:lineRule="exact"/>
        <w:ind w:firstLine="640" w:firstLineChars="200"/>
        <w:jc w:val="left"/>
        <w:rPr>
          <w:rFonts w:hint="eastAsia" w:ascii="仿宋" w:hAnsi="仿宋" w:eastAsia="仿宋" w:cs="仿宋"/>
          <w:color w:val="000000"/>
          <w:sz w:val="32"/>
          <w:szCs w:val="32"/>
        </w:rPr>
      </w:pPr>
    </w:p>
    <w:p>
      <w:pPr>
        <w:ind w:firstLine="560" w:firstLineChars="200"/>
        <w:jc w:val="left"/>
        <w:rPr>
          <w:rFonts w:ascii="仿宋_GB2312" w:hAnsi="楷体_GB2312" w:eastAsia="仿宋_GB2312" w:cs="楷体_GB2312"/>
          <w:sz w:val="28"/>
          <w:szCs w:val="28"/>
        </w:rPr>
      </w:pPr>
      <w:r>
        <w:rPr>
          <w:rFonts w:hint="eastAsia" w:ascii="仿宋_GB2312" w:hAnsi="楷体_GB2312" w:eastAsia="仿宋_GB2312" w:cs="楷体_GB2312"/>
          <w:sz w:val="28"/>
          <w:szCs w:val="28"/>
        </w:rPr>
        <w:t>1.申请方和测量参照物在同一侧马路的，参照图1测量，距离=a。</w:t>
      </w:r>
    </w:p>
    <w:p>
      <w:pPr>
        <w:jc w:val="center"/>
        <w:rPr>
          <w:rFonts w:ascii="仿宋_GB2312" w:hAnsi="仿宋" w:eastAsia="仿宋_GB2312" w:cs="仿宋"/>
          <w:szCs w:val="32"/>
        </w:rPr>
      </w:pPr>
      <w:r>
        <w:rPr>
          <w:rFonts w:hint="eastAsia" w:ascii="仿宋_GB2312" w:hAnsi="仿宋" w:eastAsia="仿宋_GB2312" w:cs="仿宋"/>
          <w:szCs w:val="32"/>
        </w:rPr>
        <w:drawing>
          <wp:inline distT="0" distB="0" distL="114300" distR="114300">
            <wp:extent cx="4248150" cy="2758440"/>
            <wp:effectExtent l="0" t="0" r="0" b="3810"/>
            <wp:docPr id="2" name="图片 1" descr="16292717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629271796(1)"/>
                    <pic:cNvPicPr>
                      <a:picLocks noChangeAspect="1"/>
                    </pic:cNvPicPr>
                  </pic:nvPicPr>
                  <pic:blipFill>
                    <a:blip r:embed="rId5"/>
                    <a:stretch>
                      <a:fillRect/>
                    </a:stretch>
                  </pic:blipFill>
                  <pic:spPr>
                    <a:xfrm>
                      <a:off x="0" y="0"/>
                      <a:ext cx="4248150" cy="2758440"/>
                    </a:xfrm>
                    <a:prstGeom prst="rect">
                      <a:avLst/>
                    </a:prstGeom>
                    <a:noFill/>
                    <a:ln>
                      <a:noFill/>
                    </a:ln>
                  </pic:spPr>
                </pic:pic>
              </a:graphicData>
            </a:graphic>
          </wp:inline>
        </w:drawing>
      </w:r>
    </w:p>
    <w:p>
      <w:pPr>
        <w:ind w:firstLine="640" w:firstLineChars="200"/>
        <w:jc w:val="left"/>
        <w:rPr>
          <w:rFonts w:hint="eastAsia" w:ascii="仿宋_GB2312" w:hAnsi="楷体_GB2312" w:eastAsia="仿宋_GB2312" w:cs="楷体_GB2312"/>
          <w:sz w:val="32"/>
          <w:szCs w:val="32"/>
        </w:rPr>
      </w:pPr>
    </w:p>
    <w:p>
      <w:pPr>
        <w:ind w:firstLine="640" w:firstLineChars="200"/>
        <w:jc w:val="left"/>
        <w:rPr>
          <w:rFonts w:hint="eastAsia" w:ascii="仿宋_GB2312" w:hAnsi="楷体_GB2312" w:eastAsia="仿宋_GB2312" w:cs="楷体_GB2312"/>
          <w:sz w:val="32"/>
          <w:szCs w:val="32"/>
        </w:rPr>
      </w:pPr>
    </w:p>
    <w:p>
      <w:pPr>
        <w:ind w:firstLine="640" w:firstLineChars="200"/>
        <w:jc w:val="left"/>
        <w:rPr>
          <w:rFonts w:hint="eastAsia" w:ascii="仿宋_GB2312" w:hAnsi="楷体_GB2312" w:eastAsia="仿宋_GB2312" w:cs="楷体_GB2312"/>
          <w:sz w:val="32"/>
          <w:szCs w:val="32"/>
        </w:rPr>
      </w:pPr>
    </w:p>
    <w:p>
      <w:pPr>
        <w:ind w:firstLine="640" w:firstLineChars="200"/>
        <w:jc w:val="left"/>
        <w:rPr>
          <w:rFonts w:hint="eastAsia" w:ascii="仿宋_GB2312" w:hAnsi="楷体_GB2312" w:eastAsia="仿宋_GB2312" w:cs="楷体_GB2312"/>
          <w:sz w:val="32"/>
          <w:szCs w:val="32"/>
        </w:rPr>
      </w:pPr>
    </w:p>
    <w:p>
      <w:pPr>
        <w:ind w:firstLine="640" w:firstLineChars="200"/>
        <w:jc w:val="left"/>
        <w:rPr>
          <w:rFonts w:ascii="仿宋_GB2312" w:hAnsi="楷体_GB2312" w:eastAsia="仿宋_GB2312" w:cs="楷体_GB2312"/>
          <w:sz w:val="32"/>
          <w:szCs w:val="32"/>
        </w:rPr>
      </w:pPr>
      <w:r>
        <w:rPr>
          <w:rFonts w:hint="eastAsia" w:ascii="仿宋_GB2312" w:hAnsi="楷体_GB2312" w:eastAsia="仿宋_GB2312" w:cs="楷体_GB2312"/>
          <w:sz w:val="32"/>
          <w:szCs w:val="32"/>
        </w:rPr>
        <w:t>2.申请方和测量参照物在马路两侧，马路中间设有隔离带的，从隔离带最近开口处作为测量通道,参照图2测量，距离=a+b+c。</w:t>
      </w:r>
    </w:p>
    <w:p>
      <w:pPr>
        <w:jc w:val="center"/>
        <w:rPr>
          <w:rFonts w:ascii="仿宋_GB2312" w:hAnsi="仿宋" w:eastAsia="仿宋_GB2312" w:cs="仿宋"/>
          <w:sz w:val="32"/>
          <w:szCs w:val="32"/>
        </w:rPr>
      </w:pPr>
      <w:r>
        <w:rPr>
          <w:rFonts w:hint="eastAsia" w:ascii="仿宋_GB2312" w:hAnsi="仿宋" w:eastAsia="仿宋_GB2312" w:cs="仿宋"/>
          <w:sz w:val="32"/>
          <w:szCs w:val="32"/>
        </w:rPr>
        <w:drawing>
          <wp:inline distT="0" distB="0" distL="114300" distR="114300">
            <wp:extent cx="4105275" cy="2914015"/>
            <wp:effectExtent l="0" t="0" r="9525" b="635"/>
            <wp:docPr id="6" name="图片 2" descr="16292719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1629271936(1)"/>
                    <pic:cNvPicPr>
                      <a:picLocks noChangeAspect="1"/>
                    </pic:cNvPicPr>
                  </pic:nvPicPr>
                  <pic:blipFill>
                    <a:blip r:embed="rId6"/>
                    <a:stretch>
                      <a:fillRect/>
                    </a:stretch>
                  </pic:blipFill>
                  <pic:spPr>
                    <a:xfrm>
                      <a:off x="0" y="0"/>
                      <a:ext cx="4105275" cy="2914015"/>
                    </a:xfrm>
                    <a:prstGeom prst="rect">
                      <a:avLst/>
                    </a:prstGeom>
                    <a:noFill/>
                    <a:ln>
                      <a:noFill/>
                    </a:ln>
                  </pic:spPr>
                </pic:pic>
              </a:graphicData>
            </a:graphic>
          </wp:inline>
        </w:drawing>
      </w:r>
    </w:p>
    <w:p>
      <w:pPr>
        <w:ind w:firstLine="640" w:firstLineChars="200"/>
        <w:jc w:val="left"/>
        <w:rPr>
          <w:rFonts w:hint="eastAsia" w:ascii="仿宋_GB2312" w:hAnsi="楷体_GB2312" w:eastAsia="仿宋_GB2312" w:cs="楷体_GB2312"/>
          <w:sz w:val="32"/>
          <w:szCs w:val="32"/>
        </w:rPr>
      </w:pPr>
    </w:p>
    <w:p>
      <w:pPr>
        <w:ind w:firstLine="640" w:firstLineChars="200"/>
        <w:jc w:val="left"/>
        <w:rPr>
          <w:rFonts w:ascii="仿宋_GB2312" w:hAnsi="楷体_GB2312" w:eastAsia="仿宋_GB2312" w:cs="楷体_GB2312"/>
          <w:sz w:val="32"/>
          <w:szCs w:val="32"/>
        </w:rPr>
      </w:pPr>
      <w:r>
        <w:rPr>
          <w:rFonts w:hint="eastAsia" w:ascii="仿宋_GB2312" w:hAnsi="楷体_GB2312" w:eastAsia="仿宋_GB2312" w:cs="楷体_GB2312"/>
          <w:sz w:val="32"/>
          <w:szCs w:val="32"/>
        </w:rPr>
        <w:t>3.申请方和测量参照物在马路两侧，马路中间没有隔离带但是有斑马线的，参照图3测量，距离=a+b+c。</w:t>
      </w:r>
    </w:p>
    <w:p>
      <w:pPr>
        <w:jc w:val="center"/>
        <w:rPr>
          <w:rFonts w:ascii="仿宋_GB2312" w:hAnsi="仿宋" w:eastAsia="仿宋_GB2312" w:cs="仿宋"/>
          <w:sz w:val="32"/>
          <w:szCs w:val="32"/>
        </w:rPr>
      </w:pPr>
      <w:r>
        <w:rPr>
          <w:rFonts w:hint="eastAsia" w:ascii="仿宋_GB2312" w:hAnsi="仿宋" w:eastAsia="仿宋_GB2312" w:cs="仿宋"/>
          <w:sz w:val="32"/>
          <w:szCs w:val="32"/>
        </w:rPr>
        <w:drawing>
          <wp:inline distT="0" distB="0" distL="114300" distR="114300">
            <wp:extent cx="4274185" cy="2747645"/>
            <wp:effectExtent l="0" t="0" r="12065" b="14605"/>
            <wp:docPr id="5" name="图片 3" descr="16292720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1629272024(1)"/>
                    <pic:cNvPicPr>
                      <a:picLocks noChangeAspect="1"/>
                    </pic:cNvPicPr>
                  </pic:nvPicPr>
                  <pic:blipFill>
                    <a:blip r:embed="rId7"/>
                    <a:stretch>
                      <a:fillRect/>
                    </a:stretch>
                  </pic:blipFill>
                  <pic:spPr>
                    <a:xfrm>
                      <a:off x="0" y="0"/>
                      <a:ext cx="4274185" cy="2747645"/>
                    </a:xfrm>
                    <a:prstGeom prst="rect">
                      <a:avLst/>
                    </a:prstGeom>
                    <a:noFill/>
                    <a:ln>
                      <a:noFill/>
                    </a:ln>
                  </pic:spPr>
                </pic:pic>
              </a:graphicData>
            </a:graphic>
          </wp:inline>
        </w:drawing>
      </w:r>
    </w:p>
    <w:p>
      <w:pPr>
        <w:ind w:firstLine="640" w:firstLineChars="200"/>
        <w:jc w:val="left"/>
        <w:rPr>
          <w:rFonts w:hint="eastAsia" w:ascii="仿宋_GB2312" w:hAnsi="楷体_GB2312" w:eastAsia="仿宋_GB2312" w:cs="楷体_GB2312"/>
          <w:sz w:val="32"/>
          <w:szCs w:val="32"/>
        </w:rPr>
      </w:pPr>
    </w:p>
    <w:p>
      <w:pPr>
        <w:pStyle w:val="2"/>
        <w:rPr>
          <w:rFonts w:hint="eastAsia"/>
        </w:rPr>
      </w:pPr>
    </w:p>
    <w:p>
      <w:pPr>
        <w:ind w:firstLine="640" w:firstLineChars="200"/>
        <w:jc w:val="left"/>
        <w:rPr>
          <w:rFonts w:ascii="仿宋_GB2312" w:hAnsi="楷体_GB2312" w:eastAsia="仿宋_GB2312" w:cs="楷体_GB2312"/>
          <w:sz w:val="32"/>
          <w:szCs w:val="32"/>
        </w:rPr>
      </w:pPr>
      <w:r>
        <w:rPr>
          <w:rFonts w:hint="eastAsia" w:ascii="仿宋_GB2312" w:hAnsi="楷体_GB2312" w:eastAsia="仿宋_GB2312" w:cs="楷体_GB2312"/>
          <w:sz w:val="32"/>
          <w:szCs w:val="32"/>
        </w:rPr>
        <w:t>4.申请方和测量参照物在马路两侧，马路中间没有斑马线或者隔离带的，参照图4测量，距离=a。</w:t>
      </w:r>
    </w:p>
    <w:p>
      <w:pPr>
        <w:jc w:val="center"/>
        <w:rPr>
          <w:rFonts w:ascii="仿宋_GB2312" w:hAnsi="仿宋" w:eastAsia="仿宋_GB2312" w:cs="仿宋"/>
          <w:sz w:val="32"/>
          <w:szCs w:val="32"/>
        </w:rPr>
      </w:pPr>
      <w:r>
        <w:rPr>
          <w:rFonts w:hint="eastAsia" w:ascii="仿宋_GB2312" w:hAnsi="仿宋" w:eastAsia="仿宋_GB2312" w:cs="仿宋"/>
          <w:sz w:val="32"/>
          <w:szCs w:val="32"/>
        </w:rPr>
        <w:drawing>
          <wp:inline distT="0" distB="0" distL="114300" distR="114300">
            <wp:extent cx="4313555" cy="2350770"/>
            <wp:effectExtent l="0" t="0" r="10795" b="11430"/>
            <wp:docPr id="3" name="图片 4" descr="16292720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1629272084(1)"/>
                    <pic:cNvPicPr>
                      <a:picLocks noChangeAspect="1"/>
                    </pic:cNvPicPr>
                  </pic:nvPicPr>
                  <pic:blipFill>
                    <a:blip r:embed="rId8"/>
                    <a:stretch>
                      <a:fillRect/>
                    </a:stretch>
                  </pic:blipFill>
                  <pic:spPr>
                    <a:xfrm>
                      <a:off x="0" y="0"/>
                      <a:ext cx="4313555" cy="2350770"/>
                    </a:xfrm>
                    <a:prstGeom prst="rect">
                      <a:avLst/>
                    </a:prstGeom>
                    <a:noFill/>
                    <a:ln>
                      <a:noFill/>
                    </a:ln>
                  </pic:spPr>
                </pic:pic>
              </a:graphicData>
            </a:graphic>
          </wp:inline>
        </w:drawing>
      </w:r>
    </w:p>
    <w:p>
      <w:pPr>
        <w:jc w:val="center"/>
        <w:rPr>
          <w:rFonts w:ascii="仿宋_GB2312" w:hAnsi="仿宋" w:eastAsia="仿宋_GB2312" w:cs="仿宋"/>
          <w:sz w:val="32"/>
          <w:szCs w:val="32"/>
        </w:rPr>
      </w:pPr>
    </w:p>
    <w:p>
      <w:pPr>
        <w:ind w:firstLine="640" w:firstLineChars="200"/>
        <w:jc w:val="left"/>
        <w:rPr>
          <w:rFonts w:ascii="仿宋_GB2312" w:hAnsi="楷体_GB2312" w:eastAsia="仿宋_GB2312" w:cs="楷体_GB2312"/>
          <w:sz w:val="32"/>
          <w:szCs w:val="32"/>
        </w:rPr>
      </w:pPr>
      <w:r>
        <w:rPr>
          <w:rFonts w:hint="eastAsia" w:ascii="仿宋_GB2312" w:hAnsi="楷体_GB2312" w:eastAsia="仿宋_GB2312" w:cs="楷体_GB2312"/>
          <w:sz w:val="32"/>
          <w:szCs w:val="32"/>
        </w:rPr>
        <w:t>5.申请方和测量参照物处于马路拐角位置，参照图5测量，距离=a+b。</w:t>
      </w:r>
    </w:p>
    <w:p>
      <w:pPr>
        <w:jc w:val="center"/>
        <w:rPr>
          <w:rFonts w:ascii="仿宋_GB2312" w:hAnsi="宋体" w:eastAsia="仿宋_GB2312"/>
          <w:color w:val="000000"/>
          <w:sz w:val="32"/>
          <w:szCs w:val="32"/>
        </w:rPr>
      </w:pPr>
      <w:r>
        <w:rPr>
          <w:rFonts w:hint="eastAsia" w:ascii="仿宋_GB2312" w:hAnsi="仿宋" w:eastAsia="仿宋_GB2312" w:cs="仿宋"/>
          <w:sz w:val="32"/>
          <w:szCs w:val="32"/>
        </w:rPr>
        <w:drawing>
          <wp:inline distT="0" distB="0" distL="114300" distR="114300">
            <wp:extent cx="4647565" cy="2790825"/>
            <wp:effectExtent l="0" t="0" r="635" b="9525"/>
            <wp:docPr id="4" name="图片 5" descr="1629272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1629272184(1)"/>
                    <pic:cNvPicPr>
                      <a:picLocks noChangeAspect="1"/>
                    </pic:cNvPicPr>
                  </pic:nvPicPr>
                  <pic:blipFill>
                    <a:blip r:embed="rId9"/>
                    <a:stretch>
                      <a:fillRect/>
                    </a:stretch>
                  </pic:blipFill>
                  <pic:spPr>
                    <a:xfrm>
                      <a:off x="0" y="0"/>
                      <a:ext cx="4647565" cy="2790825"/>
                    </a:xfrm>
                    <a:prstGeom prst="rect">
                      <a:avLst/>
                    </a:prstGeom>
                    <a:noFill/>
                    <a:ln>
                      <a:noFill/>
                    </a:ln>
                  </pic:spPr>
                </pic:pic>
              </a:graphicData>
            </a:graphic>
          </wp:inline>
        </w:drawing>
      </w:r>
    </w:p>
    <w:p>
      <w:pPr>
        <w:widowControl/>
        <w:spacing w:line="480" w:lineRule="exact"/>
        <w:ind w:firstLine="640" w:firstLineChars="200"/>
        <w:rPr>
          <w:rFonts w:hint="eastAsia" w:ascii="仿宋_GB2312" w:eastAsia="仿宋_GB2312"/>
          <w:kern w:val="0"/>
          <w:sz w:val="32"/>
          <w:szCs w:val="32"/>
        </w:rPr>
      </w:pPr>
    </w:p>
    <w:p>
      <w:pPr>
        <w:widowControl/>
        <w:spacing w:line="480" w:lineRule="exact"/>
        <w:ind w:firstLine="640" w:firstLineChars="200"/>
        <w:rPr>
          <w:rFonts w:hint="eastAsia" w:ascii="仿宋_GB2312" w:hAnsi="宋体" w:eastAsia="仿宋_GB2312"/>
          <w:color w:val="auto"/>
          <w:sz w:val="32"/>
          <w:szCs w:val="32"/>
          <w:lang w:eastAsia="zh-CN"/>
        </w:rPr>
      </w:pPr>
      <w:r>
        <w:rPr>
          <w:rFonts w:hint="eastAsia" w:ascii="仿宋_GB2312" w:eastAsia="仿宋_GB2312"/>
          <w:kern w:val="0"/>
          <w:sz w:val="32"/>
          <w:szCs w:val="32"/>
        </w:rPr>
        <w:t>本测量</w:t>
      </w:r>
      <w:r>
        <w:rPr>
          <w:rFonts w:hint="eastAsia" w:ascii="仿宋_GB2312" w:eastAsia="仿宋_GB2312"/>
          <w:color w:val="auto"/>
          <w:kern w:val="0"/>
          <w:sz w:val="32"/>
          <w:szCs w:val="32"/>
        </w:rPr>
        <w:t>办法由</w:t>
      </w:r>
      <w:r>
        <w:rPr>
          <w:rFonts w:hint="eastAsia" w:ascii="仿宋_GB2312" w:eastAsia="仿宋_GB2312"/>
          <w:color w:val="auto"/>
          <w:kern w:val="0"/>
          <w:sz w:val="32"/>
          <w:szCs w:val="32"/>
          <w:lang w:val="en-US" w:eastAsia="zh-CN"/>
        </w:rPr>
        <w:t>伊川县</w:t>
      </w:r>
      <w:r>
        <w:rPr>
          <w:rFonts w:hint="eastAsia" w:ascii="仿宋_GB2312" w:eastAsia="仿宋_GB2312"/>
          <w:color w:val="auto"/>
          <w:kern w:val="0"/>
          <w:sz w:val="32"/>
          <w:szCs w:val="32"/>
        </w:rPr>
        <w:t>烟草专卖局负责解释。如遇本办法未明确测量方法的特殊情形时，其测量方法由</w:t>
      </w:r>
      <w:r>
        <w:rPr>
          <w:rFonts w:hint="eastAsia" w:ascii="仿宋_GB2312" w:eastAsia="仿宋_GB2312"/>
          <w:color w:val="auto"/>
          <w:kern w:val="0"/>
          <w:sz w:val="32"/>
          <w:szCs w:val="32"/>
          <w:lang w:val="en-US" w:eastAsia="zh-CN"/>
        </w:rPr>
        <w:t>伊川县</w:t>
      </w:r>
      <w:r>
        <w:rPr>
          <w:rFonts w:hint="eastAsia" w:ascii="仿宋_GB2312" w:eastAsia="仿宋_GB2312"/>
          <w:color w:val="auto"/>
          <w:kern w:val="0"/>
          <w:sz w:val="32"/>
          <w:szCs w:val="32"/>
        </w:rPr>
        <w:t>烟草专卖局确定</w:t>
      </w:r>
      <w:r>
        <w:rPr>
          <w:rFonts w:hint="eastAsia" w:ascii="仿宋_GB2312" w:eastAsia="仿宋_GB2312"/>
          <w:color w:val="auto"/>
          <w:kern w:val="0"/>
          <w:sz w:val="32"/>
          <w:szCs w:val="32"/>
          <w:lang w:eastAsia="zh-CN"/>
        </w:rPr>
        <w:t>。</w:t>
      </w:r>
    </w:p>
    <w:p>
      <w:pPr>
        <w:widowControl/>
        <w:jc w:val="left"/>
        <w:rPr>
          <w:rFonts w:ascii="黑体" w:hAnsi="黑体" w:eastAsia="黑体" w:cs="仿宋"/>
          <w:color w:val="auto"/>
          <w:sz w:val="32"/>
          <w:szCs w:val="32"/>
          <w:shd w:val="clear" w:color="auto" w:fill="FFFFFF"/>
        </w:rPr>
      </w:pPr>
      <w:r>
        <w:rPr>
          <w:rFonts w:hint="eastAsia" w:ascii="黑体" w:hAnsi="黑体" w:eastAsia="黑体" w:cs="仿宋"/>
          <w:color w:val="auto"/>
          <w:sz w:val="32"/>
          <w:szCs w:val="32"/>
          <w:shd w:val="clear" w:color="auto" w:fill="FFFFFF"/>
        </w:rPr>
        <w:t>附件</w:t>
      </w:r>
      <w:r>
        <w:rPr>
          <w:rFonts w:hint="eastAsia" w:ascii="黑体" w:hAnsi="黑体" w:eastAsia="黑体" w:cs="仿宋"/>
          <w:color w:val="auto"/>
          <w:sz w:val="32"/>
          <w:szCs w:val="32"/>
          <w:shd w:val="clear" w:color="auto" w:fill="FFFFFF"/>
          <w:lang w:val="en-US" w:eastAsia="zh-CN"/>
        </w:rPr>
        <w:t>2</w:t>
      </w:r>
    </w:p>
    <w:p>
      <w:pPr>
        <w:jc w:val="center"/>
        <w:rPr>
          <w:rFonts w:hint="eastAsia" w:ascii="仿宋" w:hAnsi="仿宋" w:eastAsia="仿宋" w:cs="Times New Roman"/>
          <w:color w:val="002060"/>
          <w:sz w:val="32"/>
          <w:szCs w:val="32"/>
        </w:rPr>
      </w:pPr>
      <w:r>
        <w:rPr>
          <w:rFonts w:hint="eastAsia" w:ascii="方正小标宋简体" w:hAnsi="宋体" w:eastAsia="方正小标宋简体" w:cs="宋体"/>
          <w:bCs/>
          <w:color w:val="auto"/>
          <w:kern w:val="0"/>
          <w:sz w:val="44"/>
          <w:szCs w:val="44"/>
          <w:lang w:val="en-US" w:eastAsia="zh-CN"/>
        </w:rPr>
        <w:t>伊川县</w:t>
      </w:r>
      <w:r>
        <w:rPr>
          <w:rFonts w:hint="eastAsia" w:ascii="方正小标宋简体" w:hAnsi="宋体" w:eastAsia="方正小标宋简体" w:cs="宋体"/>
          <w:bCs/>
          <w:color w:val="000000"/>
          <w:kern w:val="0"/>
          <w:sz w:val="44"/>
          <w:szCs w:val="44"/>
        </w:rPr>
        <w:t>市场单元布局信息目录</w:t>
      </w:r>
    </w:p>
    <w:tbl>
      <w:tblPr>
        <w:tblStyle w:val="9"/>
        <w:tblW w:w="8280" w:type="dxa"/>
        <w:tblInd w:w="3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30"/>
        <w:gridCol w:w="4335"/>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705"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序号</w:t>
            </w:r>
          </w:p>
        </w:tc>
        <w:tc>
          <w:tcPr>
            <w:tcW w:w="1530"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宋体" w:hAnsi="宋体" w:eastAsia="宋体" w:cs="宋体"/>
                <w:b w:val="0"/>
                <w:bCs w:val="0"/>
                <w:color w:val="auto"/>
                <w:sz w:val="24"/>
                <w:szCs w:val="24"/>
                <w:vertAlign w:val="baseline"/>
                <w:lang w:eastAsia="zh-CN"/>
              </w:rPr>
            </w:pPr>
            <w:r>
              <w:rPr>
                <w:rFonts w:hint="eastAsia" w:ascii="宋体" w:hAnsi="宋体" w:eastAsia="宋体" w:cs="宋体"/>
                <w:b w:val="0"/>
                <w:bCs w:val="0"/>
                <w:color w:val="auto"/>
                <w:sz w:val="24"/>
                <w:szCs w:val="24"/>
                <w:vertAlign w:val="baseline"/>
                <w:lang w:eastAsia="zh-CN"/>
              </w:rPr>
              <w:t>网格名称</w:t>
            </w:r>
          </w:p>
        </w:tc>
        <w:tc>
          <w:tcPr>
            <w:tcW w:w="4335" w:type="dxa"/>
            <w:vAlign w:val="center"/>
          </w:tcPr>
          <w:p>
            <w:pPr>
              <w:keepNext w:val="0"/>
              <w:keepLines w:val="0"/>
              <w:widowControl/>
              <w:suppressLineNumbers w:val="0"/>
              <w:jc w:val="center"/>
              <w:textAlignment w:val="center"/>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i w:val="0"/>
                <w:color w:val="000000"/>
                <w:kern w:val="0"/>
                <w:sz w:val="24"/>
                <w:szCs w:val="24"/>
                <w:u w:val="none"/>
                <w:lang w:val="en-US" w:eastAsia="zh-CN" w:bidi="ar"/>
              </w:rPr>
              <w:t>网格区域</w:t>
            </w:r>
          </w:p>
        </w:tc>
        <w:tc>
          <w:tcPr>
            <w:tcW w:w="1710" w:type="dxa"/>
            <w:vAlign w:val="center"/>
          </w:tcPr>
          <w:p>
            <w:pPr>
              <w:keepNext w:val="0"/>
              <w:keepLines w:val="0"/>
              <w:widowControl/>
              <w:suppressLineNumbers w:val="0"/>
              <w:jc w:val="center"/>
              <w:textAlignment w:val="center"/>
              <w:rPr>
                <w:rFonts w:hint="eastAsia" w:ascii="宋体" w:hAnsi="宋体" w:eastAsia="宋体" w:cs="宋体"/>
                <w:b w:val="0"/>
                <w:bCs/>
                <w:color w:val="auto"/>
                <w:sz w:val="24"/>
                <w:szCs w:val="24"/>
                <w:vertAlign w:val="baseline"/>
                <w:lang w:eastAsia="zh-CN"/>
              </w:rPr>
            </w:pPr>
            <w:r>
              <w:rPr>
                <w:rFonts w:hint="eastAsia" w:ascii="宋体" w:hAnsi="宋体" w:eastAsia="宋体" w:cs="宋体"/>
                <w:b w:val="0"/>
                <w:bCs/>
                <w:i w:val="0"/>
                <w:color w:val="000000"/>
                <w:kern w:val="0"/>
                <w:sz w:val="24"/>
                <w:szCs w:val="24"/>
                <w:u w:val="none"/>
                <w:lang w:val="en-US" w:eastAsia="zh-CN" w:bidi="ar"/>
              </w:rPr>
              <w:t>市场单元总量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2235" w:type="dxa"/>
            <w:gridSpan w:val="2"/>
            <w:vAlign w:val="center"/>
          </w:tcPr>
          <w:p>
            <w:pPr>
              <w:jc w:val="center"/>
              <w:rPr>
                <w:rFonts w:hint="eastAsia" w:ascii="仿宋" w:hAnsi="仿宋" w:eastAsia="仿宋" w:cs="Times New Roman"/>
                <w:color w:val="002060"/>
                <w:sz w:val="32"/>
                <w:szCs w:val="32"/>
                <w:vertAlign w:val="baseline"/>
                <w:lang w:eastAsia="zh-CN"/>
              </w:rPr>
            </w:pPr>
            <w:r>
              <w:rPr>
                <w:rFonts w:hint="eastAsia" w:ascii="宋体" w:hAnsi="宋体" w:eastAsia="宋体" w:cs="宋体"/>
                <w:b/>
                <w:bCs/>
                <w:color w:val="auto"/>
                <w:sz w:val="22"/>
                <w:szCs w:val="22"/>
                <w:vertAlign w:val="baseline"/>
                <w:lang w:eastAsia="zh-CN"/>
              </w:rPr>
              <w:t>全县总计</w:t>
            </w:r>
          </w:p>
        </w:tc>
        <w:tc>
          <w:tcPr>
            <w:tcW w:w="4335" w:type="dxa"/>
            <w:vAlign w:val="center"/>
          </w:tcPr>
          <w:p>
            <w:pPr>
              <w:jc w:val="center"/>
              <w:rPr>
                <w:rFonts w:hint="eastAsia" w:ascii="仿宋" w:hAnsi="仿宋" w:eastAsia="仿宋" w:cs="Times New Roman"/>
                <w:color w:val="002060"/>
                <w:sz w:val="32"/>
                <w:szCs w:val="32"/>
                <w:vertAlign w:val="baseline"/>
              </w:rPr>
            </w:pPr>
          </w:p>
        </w:tc>
        <w:tc>
          <w:tcPr>
            <w:tcW w:w="1710" w:type="dxa"/>
            <w:vAlign w:val="center"/>
          </w:tcPr>
          <w:p>
            <w:pPr>
              <w:keepNext w:val="0"/>
              <w:keepLines w:val="0"/>
              <w:widowControl/>
              <w:suppressLineNumbers w:val="0"/>
              <w:jc w:val="center"/>
              <w:textAlignment w:val="center"/>
              <w:rPr>
                <w:rFonts w:hint="eastAsia" w:ascii="仿宋" w:hAnsi="仿宋" w:eastAsia="仿宋" w:cs="Times New Roman"/>
                <w:color w:val="002060"/>
                <w:sz w:val="32"/>
                <w:szCs w:val="32"/>
                <w:vertAlign w:val="baseline"/>
              </w:rPr>
            </w:pPr>
            <w:r>
              <w:rPr>
                <w:rFonts w:hint="eastAsia" w:ascii="宋体" w:hAnsi="宋体" w:eastAsia="宋体" w:cs="宋体"/>
                <w:b/>
                <w:i w:val="0"/>
                <w:color w:val="000000"/>
                <w:kern w:val="0"/>
                <w:sz w:val="22"/>
                <w:szCs w:val="22"/>
                <w:u w:val="none"/>
                <w:lang w:val="en-US" w:eastAsia="zh-CN" w:bidi="ar"/>
              </w:rPr>
              <w:t>2745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70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eastAsia" w:ascii="仿宋" w:hAnsi="仿宋" w:eastAsia="仿宋" w:cs="Times New Roman"/>
                <w:color w:val="002060"/>
                <w:sz w:val="32"/>
                <w:szCs w:val="32"/>
                <w:vertAlign w:val="baseline"/>
              </w:rPr>
            </w:pP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center"/>
              <w:outlineLvl w:val="9"/>
              <w:rPr>
                <w:rFonts w:hint="eastAsia" w:ascii="仿宋" w:hAnsi="仿宋" w:eastAsia="仿宋" w:cs="Times New Roman"/>
                <w:color w:val="002060"/>
                <w:sz w:val="32"/>
                <w:szCs w:val="32"/>
                <w:vertAlign w:val="baseline"/>
              </w:rPr>
            </w:pPr>
            <w:r>
              <w:rPr>
                <w:rFonts w:hint="eastAsia" w:ascii="宋体" w:hAnsi="宋体" w:eastAsia="宋体" w:cs="宋体"/>
                <w:b/>
                <w:i w:val="0"/>
                <w:color w:val="000000"/>
                <w:kern w:val="0"/>
                <w:sz w:val="22"/>
                <w:szCs w:val="22"/>
                <w:u w:val="none"/>
                <w:lang w:val="en-US" w:eastAsia="zh-CN" w:bidi="ar"/>
              </w:rPr>
              <w:t>城关街道</w:t>
            </w:r>
          </w:p>
        </w:tc>
        <w:tc>
          <w:tcPr>
            <w:tcW w:w="433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eastAsia" w:ascii="仿宋" w:hAnsi="仿宋" w:eastAsia="仿宋" w:cs="Times New Roman"/>
                <w:color w:val="002060"/>
                <w:sz w:val="32"/>
                <w:szCs w:val="32"/>
                <w:vertAlign w:val="baseline"/>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仿宋" w:hAnsi="仿宋" w:eastAsia="仿宋" w:cs="Times New Roman"/>
                <w:color w:val="002060"/>
                <w:sz w:val="32"/>
                <w:szCs w:val="32"/>
                <w:vertAlign w:val="baseline"/>
              </w:rPr>
            </w:pPr>
            <w:r>
              <w:rPr>
                <w:rFonts w:hint="eastAsia" w:ascii="宋体" w:hAnsi="宋体" w:eastAsia="宋体" w:cs="宋体"/>
                <w:b/>
                <w:i w:val="0"/>
                <w:color w:val="000000"/>
                <w:kern w:val="0"/>
                <w:sz w:val="22"/>
                <w:szCs w:val="22"/>
                <w:u w:val="none"/>
                <w:lang w:val="en-US" w:eastAsia="zh-CN" w:bidi="ar"/>
              </w:rPr>
              <w:t>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杜康大道东1</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杜康大道东-新城大道-南景艺路北-伊尹路东</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w:t>
            </w:r>
            <w:r>
              <w:rPr>
                <w:rFonts w:hint="eastAsia" w:ascii="宋体" w:hAnsi="宋体" w:cs="宋体"/>
                <w:i w:val="0"/>
                <w:color w:val="000000"/>
                <w:kern w:val="0"/>
                <w:sz w:val="21"/>
                <w:szCs w:val="21"/>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杜康大道东2</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杜康大道东-景艺路南-人民路北-伊尹路东</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w:t>
            </w:r>
            <w:r>
              <w:rPr>
                <w:rFonts w:hint="eastAsia" w:ascii="宋体" w:hAnsi="宋体" w:cs="宋体"/>
                <w:i w:val="0"/>
                <w:color w:val="000000"/>
                <w:kern w:val="0"/>
                <w:sz w:val="21"/>
                <w:szCs w:val="21"/>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杜康大道东3</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杜康大道东-人民路南-二程大道北-伊尹路东</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4</w:t>
            </w:r>
            <w:r>
              <w:rPr>
                <w:rFonts w:hint="eastAsia" w:ascii="宋体" w:hAnsi="宋体" w:cs="宋体"/>
                <w:i w:val="0"/>
                <w:color w:val="000000"/>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4</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杜康大道东4</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杜康大道东-二程大道南-理学路（含路南北）-鹤鸣大道（含伊河）西</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5</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伊川新区北1</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伊尹路东-高科路南-仁大路北-鹤鸣大道（含伊河）西</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仿宋" w:hAnsi="仿宋" w:eastAsia="仿宋" w:cs="Times New Roman"/>
                <w:color w:val="002060"/>
                <w:sz w:val="21"/>
                <w:szCs w:val="21"/>
                <w:vertAlign w:val="baseline"/>
                <w:lang w:val="en-US"/>
              </w:rPr>
            </w:pPr>
            <w:r>
              <w:rPr>
                <w:rFonts w:hint="eastAsia" w:ascii="宋体" w:hAnsi="宋体" w:cs="宋体"/>
                <w:i w:val="0"/>
                <w:color w:val="000000"/>
                <w:kern w:val="0"/>
                <w:sz w:val="21"/>
                <w:szCs w:val="21"/>
                <w:u w:val="none"/>
                <w:lang w:val="en-US" w:eastAsia="zh-CN" w:bidi="ar"/>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6</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伊川新区南1</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伊尹路东-仁大路南-新城大道北-鹤鸣大道（含伊河）西</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仿宋" w:hAnsi="仿宋" w:eastAsia="仿宋" w:cs="Times New Roman"/>
                <w:color w:val="002060"/>
                <w:sz w:val="21"/>
                <w:szCs w:val="21"/>
                <w:vertAlign w:val="baseline"/>
                <w:lang w:val="en-US"/>
              </w:rPr>
            </w:pPr>
            <w:r>
              <w:rPr>
                <w:rFonts w:hint="eastAsia" w:ascii="宋体" w:hAnsi="宋体" w:cs="宋体"/>
                <w:i w:val="0"/>
                <w:color w:val="000000"/>
                <w:kern w:val="0"/>
                <w:sz w:val="21"/>
                <w:szCs w:val="21"/>
                <w:u w:val="none"/>
                <w:lang w:val="en-US" w:eastAsia="zh-CN" w:bidi="ar"/>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7</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杜康大道西1</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杜康大道西-酒城路东-顺城街北-新城大道南</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仿宋" w:hAnsi="仿宋" w:eastAsia="仿宋" w:cs="Times New Roman"/>
                <w:color w:val="002060"/>
                <w:sz w:val="21"/>
                <w:szCs w:val="21"/>
                <w:vertAlign w:val="baseline"/>
                <w:lang w:val="en-US"/>
              </w:rPr>
            </w:pPr>
            <w:r>
              <w:rPr>
                <w:rFonts w:hint="eastAsia" w:ascii="宋体" w:hAnsi="宋体" w:cs="宋体"/>
                <w:i w:val="0"/>
                <w:color w:val="000000"/>
                <w:kern w:val="0"/>
                <w:sz w:val="21"/>
                <w:szCs w:val="21"/>
                <w:u w:val="none"/>
                <w:lang w:val="en-US" w:eastAsia="zh-CN" w:bidi="a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8</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杜康大道西2</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杜康大道西-酒城路东-人民路北-顺城街南</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9</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杜康大道西3</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杜康大道西-酒城路东-人民路南-书院路北</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10</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杜康大道西4</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杜康大道西-酒城路东-理学路（含路南北）-书院路南</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仿宋" w:hAnsi="仿宋" w:eastAsia="仿宋" w:cs="Times New Roman"/>
                <w:color w:val="002060"/>
                <w:sz w:val="21"/>
                <w:szCs w:val="21"/>
                <w:vertAlign w:val="baseline"/>
                <w:lang w:val="en-US"/>
              </w:rPr>
            </w:pPr>
            <w:r>
              <w:rPr>
                <w:rFonts w:hint="eastAsia" w:ascii="宋体" w:hAnsi="宋体" w:cs="宋体"/>
                <w:i w:val="0"/>
                <w:color w:val="000000"/>
                <w:kern w:val="0"/>
                <w:sz w:val="21"/>
                <w:szCs w:val="21"/>
                <w:u w:val="none"/>
                <w:lang w:val="en-US" w:eastAsia="zh-CN" w:bidi="a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新城大道北1</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新城大道北-政和路南-伊尹路西-杜康大道东</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新城大道北2</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新城大道北-政和路南-杜康大道西-酒城路东</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13</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新城大道北3</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新城大道北-政和路南-酒城路西-文化路东</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14</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新城大道北4</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新城大道北-文博大道南-文化路西-八一路东</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仿宋" w:hAnsi="仿宋" w:eastAsia="仿宋" w:cs="Times New Roman"/>
                <w:color w:val="002060"/>
                <w:sz w:val="21"/>
                <w:szCs w:val="21"/>
                <w:vertAlign w:val="baseline"/>
                <w:lang w:val="en-US"/>
              </w:rPr>
            </w:pPr>
            <w:r>
              <w:rPr>
                <w:rFonts w:hint="eastAsia" w:ascii="宋体" w:hAnsi="宋体" w:cs="宋体"/>
                <w:i w:val="0"/>
                <w:color w:val="000000"/>
                <w:kern w:val="0"/>
                <w:sz w:val="21"/>
                <w:szCs w:val="21"/>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15</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新城大道北5</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新城大道北-文博大道南-文化路东-酒城路西</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仿宋" w:hAnsi="仿宋" w:eastAsia="仿宋" w:cs="Times New Roman"/>
                <w:color w:val="002060"/>
                <w:sz w:val="21"/>
                <w:szCs w:val="21"/>
                <w:vertAlign w:val="baseline"/>
                <w:lang w:val="en-US"/>
              </w:rPr>
            </w:pPr>
            <w:r>
              <w:rPr>
                <w:rFonts w:hint="eastAsia" w:ascii="宋体" w:hAnsi="宋体" w:cs="宋体"/>
                <w:i w:val="0"/>
                <w:color w:val="000000"/>
                <w:kern w:val="0"/>
                <w:sz w:val="21"/>
                <w:szCs w:val="21"/>
                <w:u w:val="none"/>
                <w:lang w:val="en-US" w:eastAsia="zh-CN" w:bidi="ar"/>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16</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新城大道南1</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新城大道南-人民路北-伊尹路东-鹤鸣大道（含伊河）西</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仿宋" w:hAnsi="仿宋" w:eastAsia="仿宋" w:cs="Times New Roman"/>
                <w:color w:val="002060"/>
                <w:sz w:val="21"/>
                <w:szCs w:val="21"/>
                <w:vertAlign w:val="baseline"/>
                <w:lang w:val="en-US"/>
              </w:rPr>
            </w:pPr>
            <w:r>
              <w:rPr>
                <w:rFonts w:hint="eastAsia" w:ascii="宋体" w:hAnsi="宋体" w:cs="宋体"/>
                <w:i w:val="0"/>
                <w:color w:val="000000"/>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17</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新城大道南2</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新城大道南顺城街北八一路东酒城路西</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仿宋" w:hAnsi="仿宋" w:eastAsia="仿宋" w:cs="Times New Roman"/>
                <w:color w:val="002060"/>
                <w:sz w:val="21"/>
                <w:szCs w:val="21"/>
                <w:vertAlign w:val="baseline"/>
                <w:lang w:val="en-US"/>
              </w:rPr>
            </w:pPr>
            <w:r>
              <w:rPr>
                <w:rFonts w:hint="eastAsia" w:ascii="宋体" w:hAnsi="宋体" w:cs="宋体"/>
                <w:i w:val="0"/>
                <w:color w:val="000000"/>
                <w:kern w:val="0"/>
                <w:sz w:val="21"/>
                <w:szCs w:val="21"/>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18</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人民路1</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人民路南二程大道北伊尹路东鹤鸣大道（含伊河）西</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19</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人民路2</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人民路北-文化路西-八一路东-顺城街南</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20</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人民路3</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八一路西-人民路（含路南北）-政和路南-植物园路（景区）东</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八一路1</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文化路西-八一路（含路东西、延伸至实验高中门口）-书院路南-理学路（含路南北）</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八一路2</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酒城路西-八一路（含路东西）-书院路北-人民路南</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仿宋" w:hAnsi="仿宋" w:eastAsia="仿宋" w:cs="Times New Roman"/>
                <w:color w:val="002060"/>
                <w:sz w:val="21"/>
                <w:szCs w:val="21"/>
                <w:vertAlign w:val="baseline"/>
                <w:lang w:val="en-US"/>
              </w:rPr>
            </w:pPr>
            <w:r>
              <w:rPr>
                <w:rFonts w:hint="eastAsia" w:ascii="宋体" w:hAnsi="宋体" w:cs="宋体"/>
                <w:i w:val="0"/>
                <w:color w:val="000000"/>
                <w:kern w:val="0"/>
                <w:sz w:val="21"/>
                <w:szCs w:val="21"/>
                <w:u w:val="none"/>
                <w:lang w:val="en-US" w:eastAsia="zh-CN"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23</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八一路3</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人民路北-文化路东-酒城路西-顺城街南</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仿宋" w:hAnsi="仿宋" w:eastAsia="仿宋" w:cs="Times New Roman"/>
                <w:color w:val="002060"/>
                <w:sz w:val="21"/>
                <w:szCs w:val="21"/>
                <w:vertAlign w:val="baseline"/>
                <w:lang w:val="en-US"/>
              </w:rPr>
            </w:pPr>
            <w:r>
              <w:rPr>
                <w:rFonts w:hint="eastAsia" w:ascii="宋体" w:hAnsi="宋体" w:cs="宋体"/>
                <w:i w:val="0"/>
                <w:color w:val="000000"/>
                <w:kern w:val="0"/>
                <w:sz w:val="21"/>
                <w:szCs w:val="21"/>
                <w:u w:val="none"/>
                <w:lang w:val="en-US" w:eastAsia="zh-CN" w:bidi="ar"/>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24</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文化路1</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酒城路西-文化路东-理学路（含路南北）-书院路南</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仿宋" w:hAnsi="仿宋" w:eastAsia="仿宋" w:cs="Times New Roman"/>
                <w:color w:val="002060"/>
                <w:sz w:val="21"/>
                <w:szCs w:val="21"/>
                <w:vertAlign w:val="baseline"/>
                <w:lang w:val="en-US"/>
              </w:rPr>
            </w:pPr>
            <w:r>
              <w:rPr>
                <w:rFonts w:hint="eastAsia" w:ascii="宋体" w:hAnsi="宋体" w:cs="宋体"/>
                <w:i w:val="0"/>
                <w:color w:val="000000"/>
                <w:kern w:val="0"/>
                <w:sz w:val="21"/>
                <w:szCs w:val="21"/>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25</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周村社区1</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杜康大道西-文博大道南-政和路北-酒城路东</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仿宋" w:hAnsi="仿宋" w:eastAsia="仿宋" w:cs="Times New Roman"/>
                <w:color w:val="002060"/>
                <w:sz w:val="21"/>
                <w:szCs w:val="21"/>
                <w:vertAlign w:val="baseline"/>
                <w:lang w:val="en-US"/>
              </w:rPr>
            </w:pPr>
            <w:r>
              <w:rPr>
                <w:rFonts w:hint="eastAsia" w:ascii="宋体" w:hAnsi="宋体" w:cs="宋体"/>
                <w:i w:val="0"/>
                <w:color w:val="000000"/>
                <w:kern w:val="0"/>
                <w:sz w:val="21"/>
                <w:szCs w:val="21"/>
                <w:u w:val="none"/>
                <w:lang w:val="en-US" w:eastAsia="zh-CN" w:bidi="ar"/>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26</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周村社区2</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杜康大道东-董村南-政和路北-伊尹路西</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仿宋" w:hAnsi="仿宋" w:eastAsia="仿宋" w:cs="Times New Roman"/>
                <w:color w:val="002060"/>
                <w:sz w:val="21"/>
                <w:szCs w:val="21"/>
                <w:vertAlign w:val="baseline"/>
                <w:lang w:val="en-US"/>
              </w:rPr>
            </w:pPr>
            <w:r>
              <w:rPr>
                <w:rFonts w:hint="eastAsia" w:ascii="宋体" w:hAnsi="宋体" w:cs="宋体"/>
                <w:i w:val="0"/>
                <w:color w:val="000000"/>
                <w:kern w:val="0"/>
                <w:sz w:val="21"/>
                <w:szCs w:val="21"/>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27</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华美建材城</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东至伊河、华美建材城内</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28</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龙凤山景区</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龙凤山景区内</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29</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古城寨村社区</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古城寨村社区</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30</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野狐岭社区</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野狐岭社区</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董村社区</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董村社区</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石瑶村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石瑶村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33</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瑶湾社区</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瑶湾社区</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34</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瓦东村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瓦东村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35</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瓦西村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瓦西村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36</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瓦北村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瓦北村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37</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三龙口村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三龙口村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 w:hAnsi="仿宋" w:eastAsia="仿宋" w:cs="Times New Roman"/>
                <w:color w:val="002060"/>
                <w:sz w:val="21"/>
                <w:szCs w:val="21"/>
                <w:vertAlign w:val="baseline"/>
              </w:rPr>
            </w:pP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b/>
                <w:i w:val="0"/>
                <w:color w:val="000000"/>
                <w:kern w:val="0"/>
                <w:sz w:val="21"/>
                <w:szCs w:val="21"/>
                <w:u w:val="none"/>
                <w:lang w:val="en-US" w:eastAsia="zh-CN" w:bidi="ar"/>
              </w:rPr>
              <w:t>河滨街道</w:t>
            </w:r>
          </w:p>
        </w:tc>
        <w:tc>
          <w:tcPr>
            <w:tcW w:w="433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 w:hAnsi="仿宋" w:eastAsia="仿宋" w:cs="Times New Roman"/>
                <w:color w:val="002060"/>
                <w:sz w:val="21"/>
                <w:szCs w:val="21"/>
                <w:vertAlign w:val="baseline"/>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b/>
                <w:i w:val="0"/>
                <w:color w:val="000000"/>
                <w:kern w:val="0"/>
                <w:sz w:val="21"/>
                <w:szCs w:val="21"/>
                <w:u w:val="none"/>
                <w:lang w:val="en-US" w:eastAsia="zh-CN" w:bidi="ar"/>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38</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罗村社区</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罗村社区</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39</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彭庄社区</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彭庄社区</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40</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邑涧村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邑涧村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41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任沟村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任沟村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42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周岭村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周岭村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43</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张庄村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张庄村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44</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李疙瘩</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李疙瘩</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45</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许沟村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许沟村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46</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瑶底村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瑶底村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47</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闵店村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闵店村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48</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小庄村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小庄村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49</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大庄村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大庄村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50</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槐树街村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槐树街村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51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马营村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马营村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52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梁村沟村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梁村沟村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 w:hAnsi="仿宋" w:eastAsia="仿宋" w:cs="Times New Roman"/>
                <w:color w:val="002060"/>
                <w:sz w:val="21"/>
                <w:szCs w:val="21"/>
                <w:vertAlign w:val="baseline"/>
              </w:rPr>
            </w:pP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b/>
                <w:i w:val="0"/>
                <w:color w:val="000000"/>
                <w:kern w:val="0"/>
                <w:sz w:val="21"/>
                <w:szCs w:val="21"/>
                <w:u w:val="none"/>
                <w:lang w:val="en-US" w:eastAsia="zh-CN" w:bidi="ar"/>
              </w:rPr>
              <w:t>鸦岭镇</w:t>
            </w:r>
          </w:p>
        </w:tc>
        <w:tc>
          <w:tcPr>
            <w:tcW w:w="433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 w:hAnsi="仿宋" w:eastAsia="仿宋" w:cs="Times New Roman"/>
                <w:color w:val="002060"/>
                <w:sz w:val="21"/>
                <w:szCs w:val="21"/>
                <w:vertAlign w:val="baseline"/>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b/>
                <w:i w:val="0"/>
                <w:color w:val="000000"/>
                <w:kern w:val="0"/>
                <w:sz w:val="21"/>
                <w:szCs w:val="21"/>
                <w:u w:val="none"/>
                <w:lang w:val="en-US" w:eastAsia="zh-CN" w:bidi="ar"/>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53</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鸦岭村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鸦岭村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54</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鸦岭商业街</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西至丰鸣路东到崔周线（含商业街两侧）</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55</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西沟村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西沟村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56</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柿树洼村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柿树洼村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57</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许沟村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许沟村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58</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康沟村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康沟村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59</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槐树洼村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槐树洼村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60</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南姚沟村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南姚沟村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61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北姚沟村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北姚沟村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62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高沟村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高沟村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63</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韩洼村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韩洼村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64</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董家沟村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董家沟村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65</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贾寨村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贾寨村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66</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于营村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于营村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67</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刘沟村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刘沟村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68</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代瑶村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代瑶村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69</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梁刘村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梁刘村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70</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黑羊村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黑羊村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71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西窑村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西窑村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72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曹瑶村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曹瑶村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73</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尚家沟村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尚家沟村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74</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王庄村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王庄村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75</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楼子头村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楼子头村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76</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曹坡村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曹坡村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77</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殷沟村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殷沟村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78</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常川村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常川村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79</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樊店村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樊店村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80</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老虎洼村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老虎洼村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81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亓岭村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亓岭村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82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范沟村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范沟村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83</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杜沟村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杜沟村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84</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康庄村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康庄村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85</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张坡村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张坡村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86</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芦户村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芦户村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87</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郑窑村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郑窑村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88</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叶沟村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叶沟村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89</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石桥村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石桥村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90</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殷桥村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殷桥村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91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下沟村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下沟村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92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康坪村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康坪村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93</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老虎窑村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老虎窑村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94</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温庄村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温庄村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 w:hAnsi="仿宋" w:eastAsia="仿宋" w:cs="Times New Roman"/>
                <w:color w:val="002060"/>
                <w:sz w:val="21"/>
                <w:szCs w:val="21"/>
                <w:vertAlign w:val="baseline"/>
              </w:rPr>
            </w:pP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b/>
                <w:i w:val="0"/>
                <w:color w:val="000000"/>
                <w:kern w:val="0"/>
                <w:sz w:val="21"/>
                <w:szCs w:val="21"/>
                <w:u w:val="none"/>
                <w:lang w:val="en-US" w:eastAsia="zh-CN" w:bidi="ar"/>
              </w:rPr>
              <w:t>平等乡</w:t>
            </w:r>
          </w:p>
        </w:tc>
        <w:tc>
          <w:tcPr>
            <w:tcW w:w="433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 w:hAnsi="仿宋" w:eastAsia="仿宋" w:cs="Times New Roman"/>
                <w:color w:val="002060"/>
                <w:sz w:val="21"/>
                <w:szCs w:val="21"/>
                <w:vertAlign w:val="baseline"/>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b/>
                <w:i w:val="0"/>
                <w:color w:val="000000"/>
                <w:kern w:val="0"/>
                <w:sz w:val="21"/>
                <w:szCs w:val="21"/>
                <w:u w:val="none"/>
                <w:lang w:val="en-US" w:eastAsia="zh-CN" w:bidi="ar"/>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95</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平等村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平等村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96</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东村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东村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97</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西村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西村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98</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古城村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古城村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99</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杨寨村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杨寨村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100</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姜沟村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姜沟村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101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王庄村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王庄村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102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张奇庄村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张奇庄村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103</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龙王屯村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龙王屯村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104</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上元村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上元村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105</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宋店村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宋店村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106</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马回营村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马回营村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107</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马回村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马回村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108</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四合头村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四合头村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109</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辛营村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辛营村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110</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马庄村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马庄村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 w:hAnsi="仿宋" w:eastAsia="仿宋" w:cs="Times New Roman"/>
                <w:color w:val="002060"/>
                <w:sz w:val="21"/>
                <w:szCs w:val="21"/>
                <w:vertAlign w:val="baseline"/>
              </w:rPr>
            </w:pP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b/>
                <w:i w:val="0"/>
                <w:color w:val="000000"/>
                <w:kern w:val="0"/>
                <w:sz w:val="21"/>
                <w:szCs w:val="21"/>
                <w:u w:val="none"/>
                <w:lang w:val="en-US" w:eastAsia="zh-CN" w:bidi="ar"/>
              </w:rPr>
              <w:t>高山镇</w:t>
            </w:r>
          </w:p>
        </w:tc>
        <w:tc>
          <w:tcPr>
            <w:tcW w:w="433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outlineLvl w:val="9"/>
              <w:rPr>
                <w:rFonts w:hint="eastAsia" w:ascii="仿宋" w:hAnsi="仿宋" w:eastAsia="仿宋" w:cs="Times New Roman"/>
                <w:color w:val="002060"/>
                <w:sz w:val="21"/>
                <w:szCs w:val="21"/>
                <w:vertAlign w:val="baseline"/>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b/>
                <w:i w:val="0"/>
                <w:color w:val="000000"/>
                <w:kern w:val="0"/>
                <w:sz w:val="21"/>
                <w:szCs w:val="21"/>
                <w:u w:val="none"/>
                <w:lang w:val="en-US" w:eastAsia="zh-CN" w:bidi="ar"/>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111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高山村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高山村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112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高山矿区</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高山矿区</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113</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侯村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侯村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114</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常海山村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常海山村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115</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草场村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草场村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116</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湖南村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湖南村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117</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晁沟村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晁沟村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118</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坡头寨村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坡头寨村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119</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张村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张村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120</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贾村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贾村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121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穆店村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穆店村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122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洞子沟村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洞子沟村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123</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增花营村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增花营村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124</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刘庄村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刘庄村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125</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黄村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黄村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126</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金滹沱村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金滹沱村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127</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高东村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高东村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128</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坡头村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坡头村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129</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谷瑶村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谷瑶村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130</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郑村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郑村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131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魏庄村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魏庄村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132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方沟村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方沟村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133</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王忠洼村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王忠洼村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134</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闫洼村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闫洼村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 w:hAnsi="仿宋" w:eastAsia="仿宋" w:cs="Times New Roman"/>
                <w:color w:val="002060"/>
                <w:sz w:val="21"/>
                <w:szCs w:val="21"/>
                <w:vertAlign w:val="baseline"/>
              </w:rPr>
            </w:pP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b/>
                <w:i w:val="0"/>
                <w:color w:val="000000"/>
                <w:kern w:val="0"/>
                <w:sz w:val="21"/>
                <w:szCs w:val="21"/>
                <w:u w:val="none"/>
                <w:lang w:val="en-US" w:eastAsia="zh-CN" w:bidi="ar"/>
              </w:rPr>
              <w:t>鸣皋镇</w:t>
            </w:r>
          </w:p>
        </w:tc>
        <w:tc>
          <w:tcPr>
            <w:tcW w:w="433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outlineLvl w:val="9"/>
              <w:rPr>
                <w:rFonts w:hint="eastAsia" w:ascii="仿宋" w:hAnsi="仿宋" w:eastAsia="仿宋" w:cs="Times New Roman"/>
                <w:color w:val="002060"/>
                <w:sz w:val="21"/>
                <w:szCs w:val="21"/>
                <w:vertAlign w:val="baseline"/>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b/>
                <w:i w:val="0"/>
                <w:color w:val="000000"/>
                <w:kern w:val="0"/>
                <w:sz w:val="21"/>
                <w:szCs w:val="21"/>
                <w:u w:val="none"/>
                <w:lang w:val="en-US" w:eastAsia="zh-CN" w:bidi="ar"/>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135</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鸣皋村1</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鸣皋村洛栾线国道以西</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136</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鸣皋村2</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洛栾线国道以东</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137</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中溪村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中溪村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138</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元东村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元东村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139</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小元东村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小元东村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140</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坡根村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坡根村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141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新寨村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新寨村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142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曾湾村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曾湾村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143</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渡口村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渡口村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144</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干河村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干河村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145</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蒋元村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蒋元村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146</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邢庄村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邢庄村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147</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周园村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周园村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148</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雷沟村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雷沟村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149</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韩洼村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韩洼村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150</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郭村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郭村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151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152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谢村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谢村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153</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贾村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贾村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154</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中章屯村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中章屯村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155</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下章屯村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下章屯村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156</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马良寨村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马良寨村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157</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孙村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孙村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158</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张村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张村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159</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武庄村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武庄村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160</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徐阳村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徐阳村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161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沿村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沿村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162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杨村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杨村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163</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董王坡村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董王坡村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164</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西平村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西平村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165</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万沟村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万沟村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166</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杨圪垱村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杨圪垱村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167</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东叶寨村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东叶寨村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168</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西叶寨村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西叶寨村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169</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旧寨村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旧寨村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170</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王庄村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王庄村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171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杨海山村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杨海山村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172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季沟村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季沟村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173</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大桑坡村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大桑坡村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174</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小桑坡村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小桑坡村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 w:hAnsi="仿宋" w:eastAsia="仿宋" w:cs="Times New Roman"/>
                <w:color w:val="002060"/>
                <w:sz w:val="21"/>
                <w:szCs w:val="21"/>
                <w:vertAlign w:val="baseline"/>
              </w:rPr>
            </w:pP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b/>
                <w:i w:val="0"/>
                <w:color w:val="000000"/>
                <w:kern w:val="0"/>
                <w:sz w:val="21"/>
                <w:szCs w:val="21"/>
                <w:u w:val="none"/>
                <w:lang w:val="en-US" w:eastAsia="zh-CN" w:bidi="ar"/>
              </w:rPr>
              <w:t>葛寨镇</w:t>
            </w:r>
          </w:p>
        </w:tc>
        <w:tc>
          <w:tcPr>
            <w:tcW w:w="433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outlineLvl w:val="9"/>
              <w:rPr>
                <w:rFonts w:hint="eastAsia" w:ascii="仿宋" w:hAnsi="仿宋" w:eastAsia="仿宋" w:cs="Times New Roman"/>
                <w:color w:val="002060"/>
                <w:sz w:val="21"/>
                <w:szCs w:val="21"/>
                <w:vertAlign w:val="baseline"/>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b/>
                <w:i w:val="0"/>
                <w:color w:val="000000"/>
                <w:kern w:val="0"/>
                <w:sz w:val="21"/>
                <w:szCs w:val="21"/>
                <w:u w:val="none"/>
                <w:lang w:val="en-US" w:eastAsia="zh-CN" w:bidi="ar"/>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175</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葛寨村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葛寨村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176</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杨楼村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杨楼村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177</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双头寨村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双头寨村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178</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瑶头村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瑶头村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179</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烟涧村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烟涧村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180</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黄楝树村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黄楝树村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181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吉章村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吉章村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182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黄庄村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黄庄村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183</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梁沟村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梁沟村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184</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黄兑村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黄兑村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185</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张棉村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张棉村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186</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赵村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赵村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187</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沙园村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沙园村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188</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黄岭村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黄岭村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189</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陡沟村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陡沟村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190</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王庄村村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王庄村村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191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南坪村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南坪村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192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前富山村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前富山村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193</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后富山村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后富山村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 w:hAnsi="仿宋" w:eastAsia="仿宋" w:cs="Times New Roman"/>
                <w:color w:val="002060"/>
                <w:sz w:val="21"/>
                <w:szCs w:val="21"/>
                <w:vertAlign w:val="baseline"/>
              </w:rPr>
            </w:pP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b/>
                <w:i w:val="0"/>
                <w:color w:val="000000"/>
                <w:kern w:val="0"/>
                <w:sz w:val="21"/>
                <w:szCs w:val="21"/>
                <w:u w:val="none"/>
                <w:lang w:val="en-US" w:eastAsia="zh-CN" w:bidi="ar"/>
              </w:rPr>
              <w:t>酒后镇</w:t>
            </w:r>
          </w:p>
        </w:tc>
        <w:tc>
          <w:tcPr>
            <w:tcW w:w="433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outlineLvl w:val="9"/>
              <w:rPr>
                <w:rFonts w:hint="eastAsia" w:ascii="仿宋" w:hAnsi="仿宋" w:eastAsia="仿宋" w:cs="Times New Roman"/>
                <w:color w:val="002060"/>
                <w:sz w:val="21"/>
                <w:szCs w:val="21"/>
                <w:vertAlign w:val="baseline"/>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b/>
                <w:i w:val="0"/>
                <w:color w:val="000000"/>
                <w:kern w:val="0"/>
                <w:sz w:val="21"/>
                <w:szCs w:val="21"/>
                <w:u w:val="none"/>
                <w:lang w:val="en-US" w:eastAsia="zh-CN" w:bidi="ar"/>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194</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酒后村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酒后村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195</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梁吃当村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梁吃当村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196</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高回村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高回村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197</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辛庄村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辛庄村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198</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路庙村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路庙村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199</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南庄村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南庄村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200</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有方村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有方村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201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官庄村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官庄村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202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渠旺村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渠旺村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203</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老庄村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老庄村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204</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三王村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三王村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205</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寺上村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寺上村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206</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寨上村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寨上村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207</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大王庙村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大王庙村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208</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柴庄村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柴庄村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209</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白窑村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白窑村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210</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南王村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南王村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211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翟沟村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翟沟村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212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吕寨村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吕寨村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213</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罗庄村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罗庄村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214</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南村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南村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215</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庄科村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庄科村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216</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田园村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田园村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217</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上李村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上李村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218</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下李村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下李村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219</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黑龙沟村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黑龙沟村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220</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寺沟村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寺沟村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 w:hAnsi="仿宋" w:eastAsia="仿宋" w:cs="Times New Roman"/>
                <w:color w:val="002060"/>
                <w:sz w:val="21"/>
                <w:szCs w:val="21"/>
                <w:vertAlign w:val="baseline"/>
              </w:rPr>
            </w:pP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b/>
                <w:i w:val="0"/>
                <w:color w:val="000000"/>
                <w:kern w:val="0"/>
                <w:sz w:val="21"/>
                <w:szCs w:val="21"/>
                <w:u w:val="none"/>
                <w:lang w:val="en-US" w:eastAsia="zh-CN" w:bidi="ar"/>
              </w:rPr>
              <w:t>白元镇</w:t>
            </w:r>
          </w:p>
        </w:tc>
        <w:tc>
          <w:tcPr>
            <w:tcW w:w="433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outlineLvl w:val="9"/>
              <w:rPr>
                <w:rFonts w:hint="eastAsia" w:ascii="仿宋" w:hAnsi="仿宋" w:eastAsia="仿宋" w:cs="Times New Roman"/>
                <w:color w:val="002060"/>
                <w:sz w:val="21"/>
                <w:szCs w:val="21"/>
                <w:vertAlign w:val="baseline"/>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b/>
                <w:i w:val="0"/>
                <w:color w:val="000000"/>
                <w:kern w:val="0"/>
                <w:sz w:val="21"/>
                <w:szCs w:val="21"/>
                <w:u w:val="none"/>
                <w:lang w:val="en-US" w:eastAsia="zh-CN" w:bidi="ar"/>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221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白元村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白元村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222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双头村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双头村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223</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常峪堡村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常峪堡村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224</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省元头村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省元头村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225</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谢庄村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谢庄村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226</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班庄村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班庄村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227</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夹河村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夹河村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228</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辛庄村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辛庄村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229</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水牛沟村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水牛沟村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230</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良寨村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良寨村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231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夏堡村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夏堡村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232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土门村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土门村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233</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王庄村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王庄村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234</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富留店村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富留店村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235</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王耆店村村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王耆店村村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236</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杨寨村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杨寨村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237</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魏寨村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魏寨村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238</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洁泊村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洁泊村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239</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洁泊寨村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洁泊寨村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240</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吴起岭村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吴起岭村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 w:hAnsi="仿宋" w:eastAsia="仿宋" w:cs="Times New Roman"/>
                <w:color w:val="002060"/>
                <w:sz w:val="21"/>
                <w:szCs w:val="21"/>
                <w:vertAlign w:val="baseline"/>
              </w:rPr>
            </w:pP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b/>
                <w:i w:val="0"/>
                <w:color w:val="000000"/>
                <w:kern w:val="0"/>
                <w:sz w:val="21"/>
                <w:szCs w:val="21"/>
                <w:u w:val="none"/>
                <w:lang w:val="en-US" w:eastAsia="zh-CN" w:bidi="ar"/>
              </w:rPr>
              <w:t>水寨镇</w:t>
            </w:r>
          </w:p>
        </w:tc>
        <w:tc>
          <w:tcPr>
            <w:tcW w:w="433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outlineLvl w:val="9"/>
              <w:rPr>
                <w:rFonts w:hint="eastAsia" w:ascii="仿宋" w:hAnsi="仿宋" w:eastAsia="仿宋" w:cs="Times New Roman"/>
                <w:color w:val="002060"/>
                <w:sz w:val="21"/>
                <w:szCs w:val="21"/>
                <w:vertAlign w:val="baseline"/>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b/>
                <w:i w:val="0"/>
                <w:color w:val="000000"/>
                <w:kern w:val="0"/>
                <w:sz w:val="21"/>
                <w:szCs w:val="21"/>
                <w:u w:val="none"/>
                <w:lang w:val="en-US" w:eastAsia="zh-CN" w:bidi="ar"/>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241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水寨村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水寨村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242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南申村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南申村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243</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韦村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韦村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244</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宋村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宋村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245</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银张村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银张村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246</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姬磨村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姬磨村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247</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左寨村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左寨村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248</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乐志沟村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乐志沟村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249</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瑶张村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瑶张村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250</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上天院村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上天院村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251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司马沟村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司马沟村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 w:hAnsi="仿宋" w:eastAsia="仿宋" w:cs="Times New Roman"/>
                <w:color w:val="002060"/>
                <w:sz w:val="21"/>
                <w:szCs w:val="21"/>
                <w:vertAlign w:val="baseline"/>
              </w:rPr>
            </w:pP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b/>
                <w:i w:val="0"/>
                <w:color w:val="000000"/>
                <w:kern w:val="0"/>
                <w:sz w:val="21"/>
                <w:szCs w:val="21"/>
                <w:u w:val="none"/>
                <w:lang w:val="en-US" w:eastAsia="zh-CN" w:bidi="ar"/>
              </w:rPr>
              <w:t>彭婆镇</w:t>
            </w:r>
          </w:p>
        </w:tc>
        <w:tc>
          <w:tcPr>
            <w:tcW w:w="433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outlineLvl w:val="9"/>
              <w:rPr>
                <w:rFonts w:hint="eastAsia" w:ascii="仿宋" w:hAnsi="仿宋" w:eastAsia="仿宋" w:cs="Times New Roman"/>
                <w:color w:val="002060"/>
                <w:sz w:val="21"/>
                <w:szCs w:val="21"/>
                <w:vertAlign w:val="baseline"/>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b/>
                <w:i w:val="0"/>
                <w:color w:val="000000"/>
                <w:kern w:val="0"/>
                <w:sz w:val="21"/>
                <w:szCs w:val="21"/>
                <w:u w:val="none"/>
                <w:lang w:val="en-US" w:eastAsia="zh-CN" w:bidi="ar"/>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255</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彭婆村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彭婆村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w:t>
            </w:r>
            <w:r>
              <w:rPr>
                <w:rFonts w:hint="eastAsia" w:ascii="宋体" w:hAnsi="宋体" w:cs="宋体"/>
                <w:i w:val="0"/>
                <w:color w:val="000000"/>
                <w:kern w:val="0"/>
                <w:sz w:val="21"/>
                <w:szCs w:val="21"/>
                <w:u w:val="none"/>
                <w:lang w:val="en-US" w:eastAsia="zh-CN" w:bidi="ar"/>
              </w:rPr>
              <w:t>9</w:t>
            </w:r>
            <w:r>
              <w:rPr>
                <w:rFonts w:hint="eastAsia" w:ascii="宋体" w:hAnsi="宋体" w:eastAsia="宋体" w:cs="宋体"/>
                <w:i w:val="0"/>
                <w:color w:val="000000"/>
                <w:kern w:val="0"/>
                <w:sz w:val="21"/>
                <w:szCs w:val="21"/>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256</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西高屯村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西高屯村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257</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吕门村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吕门村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258</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王岭村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王岭村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259</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申圪当村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申圪当村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260</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杨营村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杨营村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261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靳庄村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靳庄村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262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陈沟村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陈沟村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263</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槐庄村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槐庄村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264</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郭洼村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郭洼村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265</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东高屯村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东高屯村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266</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北寨村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北寨村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267</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李寨村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李寨村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268</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南寨村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南寨村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269</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刘沟村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刘沟村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270</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赵沟村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赵沟村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271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东牛庄村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东牛庄村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272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智沟村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智沟村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273</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许营村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许营村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274</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昌营村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昌营村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275</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南衙村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南衙村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276</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杨门村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杨门村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277</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张沟村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张沟村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278</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万坡村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万坡村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279</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苗沟村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苗沟村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280</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西牛庄村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西牛庄村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281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柏树沟村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柏树沟村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282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侯沟村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侯沟村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283</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杨沟村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杨沟村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284</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张门村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张门村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285</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朱村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朱村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286</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曹沟村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曹沟村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287</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么洼村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么洼村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288</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申坡村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申坡村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 w:hAnsi="仿宋" w:eastAsia="仿宋" w:cs="Times New Roman"/>
                <w:color w:val="002060"/>
                <w:sz w:val="21"/>
                <w:szCs w:val="21"/>
                <w:vertAlign w:val="baseline"/>
              </w:rPr>
            </w:pP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b/>
                <w:i w:val="0"/>
                <w:color w:val="000000"/>
                <w:kern w:val="0"/>
                <w:sz w:val="21"/>
                <w:szCs w:val="21"/>
                <w:u w:val="none"/>
                <w:lang w:val="en-US" w:eastAsia="zh-CN" w:bidi="ar"/>
              </w:rPr>
              <w:t>白沙镇</w:t>
            </w:r>
          </w:p>
        </w:tc>
        <w:tc>
          <w:tcPr>
            <w:tcW w:w="433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outlineLvl w:val="9"/>
              <w:rPr>
                <w:rFonts w:hint="eastAsia" w:ascii="仿宋" w:hAnsi="仿宋" w:eastAsia="仿宋" w:cs="Times New Roman"/>
                <w:color w:val="002060"/>
                <w:sz w:val="21"/>
                <w:szCs w:val="21"/>
                <w:vertAlign w:val="baseline"/>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b/>
                <w:i w:val="0"/>
                <w:color w:val="000000"/>
                <w:kern w:val="0"/>
                <w:sz w:val="21"/>
                <w:szCs w:val="21"/>
                <w:u w:val="none"/>
                <w:lang w:val="en-US" w:eastAsia="zh-CN" w:bidi="ar"/>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289</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白沙村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白沙村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290</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291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银李村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银李村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292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省庄村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省庄村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293</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焦王村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焦王村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294</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下天院村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下天院村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295</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范村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范村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296</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常岭村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常岭村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297</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朱岭村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朱岭村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298</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孙岭村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孙岭村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299</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吴堂村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吴堂村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300</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下磨村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下磨村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301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郝湾村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郝湾村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302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孝村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孝村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303</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高岭村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高岭村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304</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程子沟村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程子沟村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305</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陈村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陈村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306</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豆村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豆村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307</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叶村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叶村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308</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程庄村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程庄村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309</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刘庄村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刘庄村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310</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炉坪村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炉坪村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311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石岭村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石岭村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312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杨岭村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杨岭村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313</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小王村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小王村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314</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新寨村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新寨村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316</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伊川县产业集聚区</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纬四路以南、纬六路以北、经七路以西、经五路西200米以东</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317</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伊川县宝雨山煤矿</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伊川县宝雨山煤矿矿内</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 w:hAnsi="仿宋" w:eastAsia="仿宋" w:cs="Times New Roman"/>
                <w:color w:val="002060"/>
                <w:sz w:val="21"/>
                <w:szCs w:val="21"/>
                <w:vertAlign w:val="baseline"/>
              </w:rPr>
            </w:pP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b/>
                <w:i w:val="0"/>
                <w:color w:val="000000"/>
                <w:kern w:val="0"/>
                <w:sz w:val="21"/>
                <w:szCs w:val="21"/>
                <w:u w:val="none"/>
                <w:lang w:val="en-US" w:eastAsia="zh-CN" w:bidi="ar"/>
              </w:rPr>
              <w:t>江左镇</w:t>
            </w:r>
          </w:p>
        </w:tc>
        <w:tc>
          <w:tcPr>
            <w:tcW w:w="433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outlineLvl w:val="9"/>
              <w:rPr>
                <w:rFonts w:hint="eastAsia" w:ascii="仿宋" w:hAnsi="仿宋" w:eastAsia="仿宋" w:cs="Times New Roman"/>
                <w:color w:val="002060"/>
                <w:sz w:val="21"/>
                <w:szCs w:val="21"/>
                <w:vertAlign w:val="baseline"/>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b/>
                <w:i w:val="0"/>
                <w:color w:val="000000"/>
                <w:kern w:val="0"/>
                <w:sz w:val="21"/>
                <w:szCs w:val="21"/>
                <w:u w:val="none"/>
                <w:lang w:val="en-US" w:eastAsia="zh-CN" w:bidi="ar"/>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318</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江左村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江左村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319</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刘村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刘村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320</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乔村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乔村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321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王庄村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王庄村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322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323</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石张庄村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石张庄村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324</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苑庄村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苑庄村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325</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白土窑村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白土窑村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326</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孟家瑶村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孟家瑶村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327</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晋庄村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晋庄村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328</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周村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周村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329</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温寨村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温寨村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330</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李屯村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李屯村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331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张洼村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张洼村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332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五里头村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五里头村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333</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耿村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耿村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334</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程村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程村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335</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遵王村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遵王村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336</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刘楼村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刘楼村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337</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苏村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苏村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338</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相寨村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相寨村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339</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杨窑村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杨窑村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340</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魏村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魏村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341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上王村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上王村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342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塔沟村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塔沟村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343</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王窑村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王窑村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344</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官庄村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官庄村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345</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杨沟村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杨沟村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346</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张窑村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张窑村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347</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武寨村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武寨村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348</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白村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白村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349</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吴沟村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吴沟村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350</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李寨村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李寨村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351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贾村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贾村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352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段村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段村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 w:hAnsi="仿宋" w:eastAsia="仿宋" w:cs="Times New Roman"/>
                <w:color w:val="002060"/>
                <w:sz w:val="21"/>
                <w:szCs w:val="21"/>
                <w:vertAlign w:val="baseline"/>
              </w:rPr>
            </w:pP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b/>
                <w:i w:val="0"/>
                <w:color w:val="000000"/>
                <w:kern w:val="0"/>
                <w:sz w:val="21"/>
                <w:szCs w:val="21"/>
                <w:u w:val="none"/>
                <w:lang w:val="en-US" w:eastAsia="zh-CN" w:bidi="ar"/>
              </w:rPr>
              <w:t>吕店镇</w:t>
            </w:r>
          </w:p>
        </w:tc>
        <w:tc>
          <w:tcPr>
            <w:tcW w:w="433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outlineLvl w:val="9"/>
              <w:rPr>
                <w:rFonts w:hint="eastAsia" w:ascii="仿宋" w:hAnsi="仿宋" w:eastAsia="仿宋" w:cs="Times New Roman"/>
                <w:color w:val="002060"/>
                <w:sz w:val="21"/>
                <w:szCs w:val="21"/>
                <w:vertAlign w:val="baseline"/>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b/>
                <w:i w:val="0"/>
                <w:color w:val="000000"/>
                <w:kern w:val="0"/>
                <w:sz w:val="21"/>
                <w:szCs w:val="21"/>
                <w:u w:val="none"/>
                <w:lang w:val="en-US" w:eastAsia="zh-CN" w:bidi="ar"/>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353</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吕店村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吕店村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354</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姚沟村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姚沟村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355</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温沟村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温沟村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356</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姚堂村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姚堂村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357</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苏沟村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苏沟村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358</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南村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南村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359</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北村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北村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360</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霍沟村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霍沟村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361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周沟村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周沟村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362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符村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符村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363</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于集村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于集村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364</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王化沟村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王化沟村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365</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后庄村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后庄村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366</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后瑶村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后瑶村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367</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沟张村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沟张村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368</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丁流村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丁流村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369</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赵庄村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赵庄村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370</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竹园村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竹园村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371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上庄村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上庄村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372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西河村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西河村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373</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王村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王村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374</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田院村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田院村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375</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宋寨村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宋寨村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376</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孙瑶村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孙瑶村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377</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拉马店村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拉马店村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378</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孙沟村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孙沟村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379</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冯沟村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冯沟村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380</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邵沟村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邵沟村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381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老庄村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老庄村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382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张沟村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张沟村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383</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下范村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下范村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384</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九洼村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九洼村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385</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翟沟村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翟沟村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386</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袁庄村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袁庄村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387</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海神庙村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海神庙村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388</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邢坡村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邢坡村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389</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魏瑶村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魏瑶村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390</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梁沟村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梁沟村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仿宋" w:hAnsi="仿宋" w:eastAsia="仿宋" w:cs="Times New Roman"/>
                <w:color w:val="002060"/>
                <w:sz w:val="21"/>
                <w:szCs w:val="21"/>
                <w:vertAlign w:val="baseline"/>
              </w:rPr>
            </w:pP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b/>
                <w:i w:val="0"/>
                <w:color w:val="000000"/>
                <w:kern w:val="0"/>
                <w:sz w:val="21"/>
                <w:szCs w:val="21"/>
                <w:u w:val="none"/>
                <w:lang w:val="en-US" w:eastAsia="zh-CN" w:bidi="ar"/>
              </w:rPr>
              <w:t>半坡镇</w:t>
            </w:r>
          </w:p>
        </w:tc>
        <w:tc>
          <w:tcPr>
            <w:tcW w:w="4335" w:type="dxa"/>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outlineLvl w:val="9"/>
              <w:rPr>
                <w:rFonts w:hint="eastAsia" w:ascii="仿宋" w:hAnsi="仿宋" w:eastAsia="仿宋" w:cs="Times New Roman"/>
                <w:color w:val="002060"/>
                <w:sz w:val="21"/>
                <w:szCs w:val="21"/>
                <w:vertAlign w:val="baseline"/>
              </w:rPr>
            </w:pP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b/>
                <w:i w:val="0"/>
                <w:color w:val="000000"/>
                <w:kern w:val="0"/>
                <w:sz w:val="21"/>
                <w:szCs w:val="21"/>
                <w:u w:val="none"/>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391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半坡村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半坡村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392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孙村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孙村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393</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段庄村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段庄村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394</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李村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李村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395</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侯沟村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侯沟村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396</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刘瑶村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刘瑶村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397</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鲁沟村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鲁沟村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398</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老君堂村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老君堂村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399</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大郭沟村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大郭沟村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400</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小郭沟村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小郭沟村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401</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何庄村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何庄村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402</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白窑村</w:t>
            </w:r>
          </w:p>
        </w:tc>
        <w:tc>
          <w:tcPr>
            <w:tcW w:w="433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白窑村</w:t>
            </w:r>
          </w:p>
        </w:tc>
        <w:tc>
          <w:tcPr>
            <w:tcW w:w="171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Times New Roman"/>
                <w:color w:val="002060"/>
                <w:sz w:val="21"/>
                <w:szCs w:val="21"/>
                <w:vertAlign w:val="baseline"/>
              </w:rPr>
            </w:pPr>
            <w:r>
              <w:rPr>
                <w:rFonts w:hint="eastAsia" w:ascii="宋体" w:hAnsi="宋体" w:eastAsia="宋体" w:cs="宋体"/>
                <w:i w:val="0"/>
                <w:color w:val="000000"/>
                <w:kern w:val="0"/>
                <w:sz w:val="21"/>
                <w:szCs w:val="21"/>
                <w:u w:val="none"/>
                <w:lang w:val="en-US" w:eastAsia="zh-CN" w:bidi="ar"/>
              </w:rPr>
              <w:t xml:space="preserve">3 </w:t>
            </w:r>
          </w:p>
        </w:tc>
      </w:tr>
    </w:tbl>
    <w:p>
      <w:pPr>
        <w:ind w:firstLine="975"/>
        <w:rPr>
          <w:rFonts w:hint="eastAsia" w:ascii="仿宋" w:hAnsi="仿宋" w:eastAsia="仿宋" w:cs="Times New Roman"/>
          <w:color w:val="002060"/>
          <w:sz w:val="32"/>
          <w:szCs w:val="32"/>
        </w:rPr>
      </w:pPr>
    </w:p>
    <w:p>
      <w:pPr>
        <w:pStyle w:val="2"/>
        <w:rPr>
          <w:rFonts w:ascii="Times New Roman" w:hAnsi="Times New Roman" w:eastAsia="楷体_GB2312"/>
          <w:sz w:val="32"/>
          <w:szCs w:val="32"/>
          <w:shd w:val="clear" w:color="auto" w:fill="FFFFFF"/>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1"/>
                              <w:szCs w:val="32"/>
                            </w:rPr>
                          </w:pP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rPr>
                        <w:sz w:val="21"/>
                        <w:szCs w:val="32"/>
                      </w:rPr>
                    </w:pP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zZjIxNjllNDVmMDRiYTgwOGQ1NmRhMDg4OWViZDcifQ=="/>
  </w:docVars>
  <w:rsids>
    <w:rsidRoot w:val="34D55F46"/>
    <w:rsid w:val="00094F7A"/>
    <w:rsid w:val="001361FC"/>
    <w:rsid w:val="002D6AE1"/>
    <w:rsid w:val="00612F7A"/>
    <w:rsid w:val="006F421F"/>
    <w:rsid w:val="00740E50"/>
    <w:rsid w:val="009E7A1F"/>
    <w:rsid w:val="00A16DBC"/>
    <w:rsid w:val="00A60A9E"/>
    <w:rsid w:val="00C00F3B"/>
    <w:rsid w:val="00DF3DEA"/>
    <w:rsid w:val="00FF76AE"/>
    <w:rsid w:val="017165B7"/>
    <w:rsid w:val="019C468A"/>
    <w:rsid w:val="01FD7E4B"/>
    <w:rsid w:val="02346FEE"/>
    <w:rsid w:val="02444E5B"/>
    <w:rsid w:val="024B6E08"/>
    <w:rsid w:val="02502065"/>
    <w:rsid w:val="02A267E2"/>
    <w:rsid w:val="031E3733"/>
    <w:rsid w:val="035E4919"/>
    <w:rsid w:val="036B7036"/>
    <w:rsid w:val="03E26B68"/>
    <w:rsid w:val="040A4AA1"/>
    <w:rsid w:val="044955CA"/>
    <w:rsid w:val="04602DA3"/>
    <w:rsid w:val="046D4438"/>
    <w:rsid w:val="0471630E"/>
    <w:rsid w:val="052265D2"/>
    <w:rsid w:val="058F1702"/>
    <w:rsid w:val="059565ED"/>
    <w:rsid w:val="061502A7"/>
    <w:rsid w:val="063B53E6"/>
    <w:rsid w:val="06E65352"/>
    <w:rsid w:val="07D24A1A"/>
    <w:rsid w:val="08674270"/>
    <w:rsid w:val="0955056D"/>
    <w:rsid w:val="0AE53B72"/>
    <w:rsid w:val="0B050793"/>
    <w:rsid w:val="0BAA072F"/>
    <w:rsid w:val="0C350DDD"/>
    <w:rsid w:val="0D8C12DD"/>
    <w:rsid w:val="0FA36571"/>
    <w:rsid w:val="0FA430D7"/>
    <w:rsid w:val="0FB57FB7"/>
    <w:rsid w:val="0FFC5BE6"/>
    <w:rsid w:val="10DC1574"/>
    <w:rsid w:val="10E03871"/>
    <w:rsid w:val="111B209C"/>
    <w:rsid w:val="117417AC"/>
    <w:rsid w:val="12957C2C"/>
    <w:rsid w:val="12E017EF"/>
    <w:rsid w:val="13555C66"/>
    <w:rsid w:val="139B4AF3"/>
    <w:rsid w:val="141A488D"/>
    <w:rsid w:val="147527BF"/>
    <w:rsid w:val="14B20F69"/>
    <w:rsid w:val="157A169B"/>
    <w:rsid w:val="15FA6724"/>
    <w:rsid w:val="16204FC8"/>
    <w:rsid w:val="16AA639C"/>
    <w:rsid w:val="16B66F43"/>
    <w:rsid w:val="16D03928"/>
    <w:rsid w:val="17935ADC"/>
    <w:rsid w:val="179D1A5D"/>
    <w:rsid w:val="17A56B63"/>
    <w:rsid w:val="17AC1CA0"/>
    <w:rsid w:val="17C52D61"/>
    <w:rsid w:val="17E50FBD"/>
    <w:rsid w:val="18672D11"/>
    <w:rsid w:val="1AAE21D3"/>
    <w:rsid w:val="1AF51BB0"/>
    <w:rsid w:val="1B9A11E7"/>
    <w:rsid w:val="1D5D716E"/>
    <w:rsid w:val="1D5E3070"/>
    <w:rsid w:val="1DA8115B"/>
    <w:rsid w:val="1E1E4F79"/>
    <w:rsid w:val="1E326C77"/>
    <w:rsid w:val="1F6300B2"/>
    <w:rsid w:val="1F6C16DE"/>
    <w:rsid w:val="20D52A86"/>
    <w:rsid w:val="21B75E11"/>
    <w:rsid w:val="21F74F9B"/>
    <w:rsid w:val="221D551E"/>
    <w:rsid w:val="2234120F"/>
    <w:rsid w:val="22592A24"/>
    <w:rsid w:val="22853AE2"/>
    <w:rsid w:val="233B65CE"/>
    <w:rsid w:val="24084702"/>
    <w:rsid w:val="241412F8"/>
    <w:rsid w:val="24815FDF"/>
    <w:rsid w:val="250003E1"/>
    <w:rsid w:val="25583467"/>
    <w:rsid w:val="25E07A9C"/>
    <w:rsid w:val="25E3253D"/>
    <w:rsid w:val="25E5032D"/>
    <w:rsid w:val="25EB7E37"/>
    <w:rsid w:val="25F038BB"/>
    <w:rsid w:val="26596178"/>
    <w:rsid w:val="27F07987"/>
    <w:rsid w:val="28442FA4"/>
    <w:rsid w:val="295B355D"/>
    <w:rsid w:val="297B5BDC"/>
    <w:rsid w:val="2B157704"/>
    <w:rsid w:val="2BC96E6C"/>
    <w:rsid w:val="2CDD3895"/>
    <w:rsid w:val="2CE664C1"/>
    <w:rsid w:val="2D0A6965"/>
    <w:rsid w:val="2D572256"/>
    <w:rsid w:val="2D7C039E"/>
    <w:rsid w:val="2ED40002"/>
    <w:rsid w:val="2EEE5640"/>
    <w:rsid w:val="2F276952"/>
    <w:rsid w:val="2F2B399A"/>
    <w:rsid w:val="2F3E38AF"/>
    <w:rsid w:val="2F844B71"/>
    <w:rsid w:val="2FB21B58"/>
    <w:rsid w:val="2FC8637E"/>
    <w:rsid w:val="300246FB"/>
    <w:rsid w:val="318E34E9"/>
    <w:rsid w:val="325E6082"/>
    <w:rsid w:val="328C4750"/>
    <w:rsid w:val="32B51EF8"/>
    <w:rsid w:val="32D56359"/>
    <w:rsid w:val="32E26A66"/>
    <w:rsid w:val="33072928"/>
    <w:rsid w:val="342A06C4"/>
    <w:rsid w:val="34D55F46"/>
    <w:rsid w:val="34E645EB"/>
    <w:rsid w:val="363A43AC"/>
    <w:rsid w:val="3681267B"/>
    <w:rsid w:val="36E36733"/>
    <w:rsid w:val="36EB413B"/>
    <w:rsid w:val="37A71FAA"/>
    <w:rsid w:val="37DC3A83"/>
    <w:rsid w:val="381946E1"/>
    <w:rsid w:val="38367638"/>
    <w:rsid w:val="39F94DC1"/>
    <w:rsid w:val="3B762441"/>
    <w:rsid w:val="3B8810DA"/>
    <w:rsid w:val="3BE92C13"/>
    <w:rsid w:val="3C174363"/>
    <w:rsid w:val="3D205D17"/>
    <w:rsid w:val="3DBB413B"/>
    <w:rsid w:val="3E7B4D69"/>
    <w:rsid w:val="3F520ACF"/>
    <w:rsid w:val="40510A2D"/>
    <w:rsid w:val="40921BCC"/>
    <w:rsid w:val="41D34149"/>
    <w:rsid w:val="41DA54D8"/>
    <w:rsid w:val="42B432B6"/>
    <w:rsid w:val="43572B58"/>
    <w:rsid w:val="441B5C4C"/>
    <w:rsid w:val="442E38B9"/>
    <w:rsid w:val="44AD6ED3"/>
    <w:rsid w:val="458C0997"/>
    <w:rsid w:val="4617194B"/>
    <w:rsid w:val="46265AEF"/>
    <w:rsid w:val="46FF153C"/>
    <w:rsid w:val="4847426C"/>
    <w:rsid w:val="48934639"/>
    <w:rsid w:val="48BF0F83"/>
    <w:rsid w:val="49262DB0"/>
    <w:rsid w:val="492A6EF5"/>
    <w:rsid w:val="49425690"/>
    <w:rsid w:val="49B454CA"/>
    <w:rsid w:val="4A0550BC"/>
    <w:rsid w:val="4ACE65AB"/>
    <w:rsid w:val="4B343DC1"/>
    <w:rsid w:val="4B3C4B0D"/>
    <w:rsid w:val="4B630235"/>
    <w:rsid w:val="4B755AC8"/>
    <w:rsid w:val="4E0A0EF3"/>
    <w:rsid w:val="4E616639"/>
    <w:rsid w:val="4F5166AD"/>
    <w:rsid w:val="4FA73B0E"/>
    <w:rsid w:val="4FF761C0"/>
    <w:rsid w:val="50265D8C"/>
    <w:rsid w:val="52843124"/>
    <w:rsid w:val="52E767E5"/>
    <w:rsid w:val="54B43966"/>
    <w:rsid w:val="55BC1884"/>
    <w:rsid w:val="56384123"/>
    <w:rsid w:val="568A343A"/>
    <w:rsid w:val="57A02CEB"/>
    <w:rsid w:val="58D47157"/>
    <w:rsid w:val="59011144"/>
    <w:rsid w:val="596F2552"/>
    <w:rsid w:val="5A4F5EDF"/>
    <w:rsid w:val="5AF745AD"/>
    <w:rsid w:val="5B6A7475"/>
    <w:rsid w:val="5C084598"/>
    <w:rsid w:val="5C4C6B7A"/>
    <w:rsid w:val="5C58551F"/>
    <w:rsid w:val="5C78171D"/>
    <w:rsid w:val="5CD050B5"/>
    <w:rsid w:val="5CF7587D"/>
    <w:rsid w:val="5D243653"/>
    <w:rsid w:val="5D7C348F"/>
    <w:rsid w:val="5DF11787"/>
    <w:rsid w:val="5E925874"/>
    <w:rsid w:val="5E9C4600"/>
    <w:rsid w:val="5ED05841"/>
    <w:rsid w:val="5F831721"/>
    <w:rsid w:val="603B28E2"/>
    <w:rsid w:val="60C170A8"/>
    <w:rsid w:val="60D560BA"/>
    <w:rsid w:val="60E05AE3"/>
    <w:rsid w:val="622D2046"/>
    <w:rsid w:val="62CD2097"/>
    <w:rsid w:val="62D71021"/>
    <w:rsid w:val="633610B3"/>
    <w:rsid w:val="634206D1"/>
    <w:rsid w:val="63F906CF"/>
    <w:rsid w:val="64153CF6"/>
    <w:rsid w:val="64A62BA0"/>
    <w:rsid w:val="65197815"/>
    <w:rsid w:val="652561BA"/>
    <w:rsid w:val="657D526F"/>
    <w:rsid w:val="67A13DC7"/>
    <w:rsid w:val="681349F0"/>
    <w:rsid w:val="690757FD"/>
    <w:rsid w:val="69767FB8"/>
    <w:rsid w:val="6B3E66B1"/>
    <w:rsid w:val="6B7B4D86"/>
    <w:rsid w:val="6C9003BD"/>
    <w:rsid w:val="6D2809FB"/>
    <w:rsid w:val="6F1F4F9E"/>
    <w:rsid w:val="6F63625D"/>
    <w:rsid w:val="70E27B84"/>
    <w:rsid w:val="71FD2A67"/>
    <w:rsid w:val="72253C9E"/>
    <w:rsid w:val="727212C6"/>
    <w:rsid w:val="730218E9"/>
    <w:rsid w:val="73B250BD"/>
    <w:rsid w:val="740D6797"/>
    <w:rsid w:val="75120509"/>
    <w:rsid w:val="753B7E9C"/>
    <w:rsid w:val="77075720"/>
    <w:rsid w:val="77830428"/>
    <w:rsid w:val="77981B4D"/>
    <w:rsid w:val="783C3AEF"/>
    <w:rsid w:val="783F0EE9"/>
    <w:rsid w:val="7899684C"/>
    <w:rsid w:val="7BC61E10"/>
    <w:rsid w:val="7BFF10BB"/>
    <w:rsid w:val="7C662EE9"/>
    <w:rsid w:val="7CA73C2D"/>
    <w:rsid w:val="7CD12A58"/>
    <w:rsid w:val="7D4A280A"/>
    <w:rsid w:val="7D9B444F"/>
    <w:rsid w:val="7ED20D09"/>
    <w:rsid w:val="7EF0118F"/>
    <w:rsid w:val="7F2220A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annotation text"/>
    <w:basedOn w:val="1"/>
    <w:unhideWhenUsed/>
    <w:qFormat/>
    <w:uiPriority w:val="99"/>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9360</Words>
  <Characters>10224</Characters>
  <Lines>36</Lines>
  <Paragraphs>10</Paragraphs>
  <ScaleCrop>false</ScaleCrop>
  <LinksUpToDate>false</LinksUpToDate>
  <CharactersWithSpaces>10644</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2024-08-08T05:37:00Z</dcterms:created>
  <dc:creator>飞比寻常</dc:creator>
  <cp:lastModifiedBy>NTKO</cp:lastModifiedBy>
  <cp:lastPrinted>2024-09-09T01:40:02Z</cp:lastPrinted>
  <dcterms:modified xsi:type="dcterms:W3CDTF">2024-09-09T01:47:10Z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y fmtid="{D5CDD505-2E9C-101B-9397-08002B2CF9AE}" pid="3" name="ICV">
    <vt:lpwstr>38D3FD2EA9FA4D0AB50290121F20BB3F_11</vt:lpwstr>
  </property>
</Properties>
</file>