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center"/>
        <w:widowControl/>
        <w:rPr>
          <w:b w:val="1"/>
          <w:sz w:val="44"/>
          <w:szCs w:val="44"/>
          <w:rFonts w:hint="eastAsia" w:asciiTheme="minorEastAsia" w:hAnsiTheme="minorEastAsia"/>
        </w:rPr>
      </w:pPr>
      <w:r>
        <w:rPr>
          <w:b w:val="1"/>
          <w:sz w:val="44"/>
          <w:lang w:val="en-US" w:eastAsia="zh-CN"/>
          <w:szCs w:val="44"/>
          <w:rFonts w:hint="eastAsia" w:asciiTheme="minorEastAsia" w:hAnsiTheme="minorEastAsia"/>
        </w:rPr>
        <w:t>伊川县</w:t>
      </w:r>
      <w:r>
        <w:rPr>
          <w:b w:val="1"/>
          <w:sz w:val="44"/>
          <w:szCs w:val="44"/>
          <w:rFonts w:hint="eastAsia" w:asciiTheme="minorEastAsia" w:hAnsiTheme="minorEastAsia"/>
        </w:rPr>
        <w:t>农业农村局行政相对人违法风险点及防控措施</w:t>
      </w:r>
    </w:p>
    <w:p>
      <w:pPr>
        <w:widowControl w:val="1"/>
        <w:jc w:val="center"/>
        <w:widowControl/>
        <w:rPr>
          <w:b w:val="1"/>
          <w:sz w:val="44"/>
          <w:szCs w:val="44"/>
          <w:rFonts w:hint="eastAsia" w:asciiTheme="minorEastAsia" w:hAnsiTheme="minorEastAsia"/>
        </w:rPr>
      </w:pPr>
    </w:p>
    <w:tbl>
      <w:tblPr>
        <w:tblStyle w:val="6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75.000000"/>
        <w:gridCol w:w="2756.000000"/>
        <w:gridCol w:w="1325.000000"/>
        <w:gridCol w:w="2088.000000"/>
        <w:gridCol w:w="2525.000000"/>
        <w:gridCol w:w="3287.000000"/>
        <w:gridCol w:w="151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675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序号</w:t>
            </w:r>
          </w:p>
        </w:tc>
        <w:tc>
          <w:tcPr>
            <w:tcW w:w="2756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法律风险点</w:t>
            </w:r>
          </w:p>
        </w:tc>
        <w:tc>
          <w:tcPr>
            <w:tcW w:w="1325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风险等级</w:t>
            </w:r>
          </w:p>
        </w:tc>
        <w:tc>
          <w:tcPr>
            <w:tcW w:w="2088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法律依据</w:t>
            </w:r>
          </w:p>
        </w:tc>
        <w:tc>
          <w:tcPr>
            <w:tcW w:w="2525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存在原因</w:t>
            </w:r>
          </w:p>
        </w:tc>
        <w:tc>
          <w:tcPr>
            <w:tcW w:w="3287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防控措施</w:t>
            </w:r>
          </w:p>
        </w:tc>
        <w:tc>
          <w:tcPr>
            <w:tcW w:w="1518" w:type="dxa"/>
          </w:tcPr>
          <w:p>
            <w:pPr>
              <w:widowControl w:val="1"/>
              <w:jc w:val="center"/>
              <w:widowControl/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</w:pPr>
            <w:r>
              <w:rPr>
                <w:b w:val="1"/>
                <w:sz w:val="24"/>
                <w:bCs/>
                <w:szCs w:val="24"/>
                <w:rFonts w:ascii="仿宋" w:hAnsi="仿宋" w:eastAsia="仿宋" w:hint="eastAsia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675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1</w:t>
            </w:r>
          </w:p>
        </w:tc>
        <w:tc>
          <w:tcPr>
            <w:tcW w:w="2756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农产品中农兽药残留超标</w:t>
            </w:r>
          </w:p>
        </w:tc>
        <w:tc>
          <w:tcPr>
            <w:tcW w:w="1325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中</w:t>
            </w:r>
          </w:p>
        </w:tc>
        <w:tc>
          <w:tcPr>
            <w:tcW w:w="2088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《农产品质量安全法》</w:t>
            </w:r>
          </w:p>
        </w:tc>
        <w:tc>
          <w:tcPr>
            <w:tcW w:w="2525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相对人对农兽药安全使用知识不多，片面追求利润，对法律法规的认识不到位，存在侥幸心理。</w:t>
            </w:r>
          </w:p>
        </w:tc>
        <w:tc>
          <w:tcPr>
            <w:tcW w:w="3287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1．强化风险监测；2．集中开展专项整治：3．组织开展安全生产宣传推广；4．加强《农产品质量安全法》普法宣传。</w:t>
            </w:r>
          </w:p>
        </w:tc>
        <w:tc>
          <w:tcPr>
            <w:tcW w:w="1518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县级农产品质量安全监管部门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675" w:type="dxa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2</w:t>
            </w:r>
          </w:p>
        </w:tc>
        <w:tc>
          <w:tcPr>
            <w:tcW w:w="2756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销售的种子没有标签或标签不符合规定</w:t>
            </w:r>
          </w:p>
        </w:tc>
        <w:tc>
          <w:tcPr>
            <w:tcW w:w="1325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中</w:t>
            </w:r>
          </w:p>
        </w:tc>
        <w:tc>
          <w:tcPr>
            <w:tcW w:w="2088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《中华人民共和国种子法》</w:t>
            </w:r>
          </w:p>
        </w:tc>
        <w:tc>
          <w:tcPr>
            <w:tcW w:w="2525" w:type="dxa"/>
          </w:tcPr>
          <w:p>
            <w:pPr>
              <w:widowControl w:val="1"/>
              <w:jc w:val="left"/>
              <w:widowControl/>
              <w:rPr>
                <w:sz w:val="24"/>
                <w:lang w:eastAsia="zh-CN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相对人法治观念淡薄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。</w:t>
            </w:r>
          </w:p>
        </w:tc>
        <w:tc>
          <w:tcPr>
            <w:tcW w:w="3287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1．加大法律法规的宣传力度，从源头上强化行政相对人的法律意识和主体责任意识：2注重事前提示，做好事中指导，实施“双随机一公开”监管模式，强化源头管理，降低违法风险。</w:t>
            </w:r>
          </w:p>
        </w:tc>
        <w:tc>
          <w:tcPr>
            <w:tcW w:w="1518" w:type="dxa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县级种业监管部门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675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default" w:cstheme="minorBidi"/>
              </w:rPr>
            </w:pPr>
            <w:r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  <w:t>3</w:t>
            </w:r>
          </w:p>
        </w:tc>
        <w:tc>
          <w:tcPr>
            <w:tcW w:w="2756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hint="eastAsia"/>
              </w:rPr>
              <w:t>经营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假农药、劣质农药</w:t>
            </w:r>
          </w:p>
        </w:tc>
        <w:tc>
          <w:tcPr>
            <w:tcW w:w="1325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szCs w:val="24"/>
                <w:rFonts w:ascii="仿宋" w:hAnsi="仿宋" w:eastAsia="仿宋" w:hint="eastAsia"/>
              </w:rPr>
            </w:pPr>
          </w:p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高</w:t>
            </w:r>
          </w:p>
        </w:tc>
        <w:tc>
          <w:tcPr>
            <w:tcW w:w="2088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《农药管理条例》</w:t>
            </w:r>
          </w:p>
        </w:tc>
        <w:tc>
          <w:tcPr>
            <w:tcW w:w="2525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相对人对农药界定不清晰，片面追求利润最大化，对法律法规的认识不到位，存在侥幸心理</w:t>
            </w:r>
            <w:r>
              <w:rPr>
                <w:sz w:val="24"/>
                <w:lang w:eastAsia="zh-CN"/>
                <w:szCs w:val="24"/>
                <w:rFonts w:ascii="仿宋" w:hAnsi="仿宋" w:eastAsia="仿宋" w:hint="eastAsia"/>
              </w:rPr>
              <w:t>。</w:t>
            </w:r>
          </w:p>
        </w:tc>
        <w:tc>
          <w:tcPr>
            <w:tcW w:w="3287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1．实施"双随机一公开"监管模式，强化源头管理，降低违法风险；</w:t>
            </w:r>
            <w:r>
              <w:rPr>
                <w:sz w:val="24"/>
                <w:szCs w:val="24"/>
                <w:rFonts w:hint="eastAsia"/>
              </w:rPr>
              <w:t xml:space="preserve"> </w:t>
            </w:r>
            <w:r>
              <w:rPr>
                <w:sz w:val="24"/>
                <w:szCs w:val="24"/>
                <w:rFonts w:ascii="仿宋" w:hAnsi="仿宋" w:eastAsia="仿宋" w:hint="eastAsia"/>
              </w:rPr>
              <w:t>2．联合公安、市场监督管理局对高发风险点进行集中整治；3．对社会影响恶劣的企业，列入违法行为"黑名单";4．加强普法宣传。</w:t>
            </w:r>
          </w:p>
        </w:tc>
        <w:tc>
          <w:tcPr>
            <w:tcW w:w="1518" w:type="dxa"/>
            <w:vAlign w:val="top"/>
          </w:tcPr>
          <w:p>
            <w:pPr>
              <w:widowControl w:val="1"/>
              <w:jc w:val="left"/>
              <w:widowControl/>
              <w:rPr>
                <w:sz w:val="24"/>
                <w:lang w:val="en-US" w:eastAsia="zh-CN" w:bidi="ar-SA"/>
                <w:kern w:val="2"/>
                <w:szCs w:val="24"/>
                <w:rFonts w:ascii="仿宋" w:hAnsi="仿宋" w:eastAsia="仿宋" w:hint="eastAsia" w:cstheme="minorBidi"/>
              </w:rPr>
            </w:pPr>
            <w:r>
              <w:rPr>
                <w:sz w:val="24"/>
                <w:szCs w:val="24"/>
                <w:rFonts w:ascii="仿宋" w:hAnsi="仿宋" w:eastAsia="仿宋" w:hint="eastAsia"/>
              </w:rPr>
              <w:t>县级农药监管部门</w:t>
            </w:r>
          </w:p>
        </w:tc>
      </w:tr>
    </w:tbl>
    <w:p>
      <w:pPr>
        <w:widowControl w:val="1"/>
        <w:jc w:val="left"/>
        <w:widowControl/>
        <w:rPr>
          <w:sz w:val="32"/>
          <w:szCs w:val="32"/>
          <w:rFonts w:ascii="仿宋" w:hAnsi="仿宋" w:eastAsia="仿宋"/>
        </w:rPr>
      </w:pPr>
      <w:bookmarkStart w:id="0" w:name="_GoBack"/>
      <w:bookmarkEnd w:id="0"/>
    </w:p>
    <w:sectPr>
      <w:footerReference r:id="rId4" w:type="default"/>
      <w:docGrid w:type="linesAndChars" w:linePitch="312" w:charSpace="0"/>
      <w:pgSz w:w="16838" w:h="11906" w:orient="landscape"/>
      <w:pgMar w:top="1797" w:right="1440" w:bottom="1797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sdt>
    <w:sdtPr>
      <w:id w:val="-4864673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2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96275"/>
    <w:rsid w:val="000E2EE3"/>
    <w:rsid w:val="00426CE5"/>
    <w:rsid w:val="0053022E"/>
    <w:rsid w:val="00596275"/>
    <w:rsid w:val="005D00BC"/>
    <w:rsid w:val="008A6EA9"/>
    <w:rsid w:val="008C03D0"/>
    <w:rsid w:val="009E094F"/>
    <w:rsid w:val="00A67C6E"/>
    <w:rsid w:val="00BA2FFF"/>
    <w:rsid w:val="00E842C8"/>
    <w:rsid w:val="00FF16B4"/>
    <w:rsid w:val="016814B1"/>
    <w:rsid w:val="04C80E78"/>
    <w:rsid w:val="05092FAB"/>
    <w:rsid w:val="194A7A23"/>
    <w:rsid w:val="1E193E07"/>
    <w:rsid w:val="21C35049"/>
    <w:rsid w:val="251D626C"/>
    <w:rsid w:val="29842A7C"/>
    <w:rsid w:val="2A3804CB"/>
    <w:rsid w:val="328A327E"/>
    <w:rsid w:val="389437EB"/>
    <w:rsid w:val="4B6F4BFA"/>
    <w:rsid w:val="4CEE1E37"/>
    <w:rsid w:val="6BCB65E9"/>
    <w:rsid w:val="75E023B5"/>
    <w:rsid w:val="793F73F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Date"/>
    <w:basedOn w:val="1"/>
    <w:link w:val="8"/>
    <w:uiPriority w:val="99"/>
    <w:semiHidden/>
    <w:unhideWhenUsed/>
    <w:qFormat/>
    <w:pPr>
      <w:ind w:left="100" w:leftChars="2500"/>
    </w:pPr>
  </w:style>
  <w:style w:type="paragraph" w:styleId="3">
    <w:name w:val="footer"/>
    <w:basedOn w:val="1"/>
    <w:link w:val="10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日期 Char"/>
    <w:basedOn w:val="7"/>
    <w:link w:val="2"/>
    <w:uiPriority w:val="99"/>
    <w:semiHidden/>
    <w:qFormat/>
  </w:style>
  <w:style w:type="character" w:styleId="9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10" w:customStyle="1">
    <w:name w:val="页脚 Char"/>
    <w:basedOn w:val="7"/>
    <w:link w:val="3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312</Words>
  <Characters>312</Characters>
  <Application>WPS Office_12.1.0.16910_F1E327BC-269C-435d-A152-05C5408002CA</Application>
  <DocSecurity>0</DocSecurity>
  <Lines>6</Lines>
  <Paragraphs>1</Paragraphs>
  <ScaleCrop>false</ScaleCrop>
  <Company/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xb21cn</dc:creator>
  <cp:keywords/>
  <dc:description/>
  <cp:lastModifiedBy>杰</cp:lastModifiedBy>
  <cp:revision>2</cp:revision>
  <dcterms:created xsi:type="dcterms:W3CDTF">2024-05-14T07:58:00Z</dcterms:created>
  <dcterms:modified xsi:type="dcterms:W3CDTF">2024-05-16T09:09:32Z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2052-12.1.0.16910</vt:lpwstr>
  </property>
  <property fmtid="{D5CDD505-2E9C-101B-9397-08002B2CF9AE}" pid="3" name="ICV">
    <vt:lpwstr>23B2247E103D4CE19E51015300C9CAFC_13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伊川县</w:t>
      </w:r>
      <w:r>
        <w:rPr>
          <w:rFonts w:hint="eastAsia" w:asciiTheme="minorEastAsia" w:hAnsiTheme="minorEastAsia"/>
          <w:b/>
          <w:sz w:val="44"/>
          <w:szCs w:val="44"/>
        </w:rPr>
        <w:t>农业农村局行政相对人违法风险点及防控措施</w:t>
      </w:r>
    </w:p>
    <w:p>
      <w:pPr>
        <w:widowControl/>
        <w:jc w:val="center"/>
        <w:rPr>
          <w:rFonts w:hint="eastAsia" w:asciiTheme="minorEastAsia" w:hAnsiTheme="minorEastAsia"/>
          <w:b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56"/>
        <w:gridCol w:w="1325"/>
        <w:gridCol w:w="2088"/>
        <w:gridCol w:w="2525"/>
        <w:gridCol w:w="328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56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法律风险点</w:t>
            </w:r>
          </w:p>
        </w:tc>
        <w:tc>
          <w:tcPr>
            <w:tcW w:w="1325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风险等级</w:t>
            </w: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法律依据</w:t>
            </w:r>
          </w:p>
        </w:tc>
        <w:tc>
          <w:tcPr>
            <w:tcW w:w="2525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存在原因</w:t>
            </w:r>
          </w:p>
        </w:tc>
        <w:tc>
          <w:tcPr>
            <w:tcW w:w="3287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防控措施</w:t>
            </w:r>
          </w:p>
        </w:tc>
        <w:tc>
          <w:tcPr>
            <w:tcW w:w="1518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农产品中农兽药残留超标</w:t>
            </w:r>
          </w:p>
        </w:tc>
        <w:tc>
          <w:tcPr>
            <w:tcW w:w="132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</w:t>
            </w:r>
          </w:p>
        </w:tc>
        <w:tc>
          <w:tcPr>
            <w:tcW w:w="2088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《农产品质量安全法》</w:t>
            </w:r>
          </w:p>
        </w:tc>
        <w:tc>
          <w:tcPr>
            <w:tcW w:w="252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相对人对农兽药安全使用知识不多，片面追求利润，对法律法规的认识不到位，存在侥幸心理。</w:t>
            </w:r>
          </w:p>
        </w:tc>
        <w:tc>
          <w:tcPr>
            <w:tcW w:w="3287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1．强化风险监测；2．集中开展专项整治：3．组织开展安全生产宣传推广；4．加强《农产品质量安全法》普法宣传。</w:t>
            </w:r>
          </w:p>
        </w:tc>
        <w:tc>
          <w:tcPr>
            <w:tcW w:w="1518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县级农产品质量安全监管部门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56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销售的种子没有标签或标签不符合规定</w:t>
            </w:r>
          </w:p>
        </w:tc>
        <w:tc>
          <w:tcPr>
            <w:tcW w:w="132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</w:t>
            </w:r>
          </w:p>
        </w:tc>
        <w:tc>
          <w:tcPr>
            <w:tcW w:w="2088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《中华人民共和国种子法》</w:t>
            </w:r>
          </w:p>
        </w:tc>
        <w:tc>
          <w:tcPr>
            <w:tcW w:w="2525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相对人法治观念淡薄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87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1．加大法律法规的宣传力度，从源头上强化行政相对人的法律意识和主体责任意识：2注重事前提示，做好事中指导，实施“双随机一公开”监管模式，强化源头管理，降低违法风险。</w:t>
            </w:r>
          </w:p>
        </w:tc>
        <w:tc>
          <w:tcPr>
            <w:tcW w:w="1518" w:type="dxa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县级种业监管部门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56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未取得农药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许可证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农药、假农药、劣质农药</w:t>
            </w:r>
          </w:p>
        </w:tc>
        <w:tc>
          <w:tcPr>
            <w:tcW w:w="1325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</w:t>
            </w:r>
          </w:p>
        </w:tc>
        <w:tc>
          <w:tcPr>
            <w:tcW w:w="2088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《农药管理条例》</w:t>
            </w:r>
          </w:p>
        </w:tc>
        <w:tc>
          <w:tcPr>
            <w:tcW w:w="2525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相对人对农药界定不清晰，片面追求利润最大化，对法律法规的认识不到位，存在侥幸心理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287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1．实施"双随机一公开"监管模式，强化源头管理，降低违法风险；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2．联合公安、市场监督管理局对高发风险点进行集中整治；3．对社会影响恶劣的企业，列入违法行为"黑名单";4．加强普法宣传。</w:t>
            </w:r>
          </w:p>
        </w:tc>
        <w:tc>
          <w:tcPr>
            <w:tcW w:w="1518" w:type="dxa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县级农药监管部门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