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val="0"/>
        <w:topLinePunct w:val="0"/>
        <w:bidi w:val="0"/>
        <w:spacing w:line="600" w:lineRule="exact"/>
        <w:jc w:val="center"/>
        <w:textAlignment w:val="auto"/>
        <w:rPr>
          <w:rFonts w:hint="default" w:ascii="Times New Roman" w:hAnsi="Times New Roman" w:eastAsia="黑体" w:cs="Times New Roman"/>
          <w:color w:val="auto"/>
          <w:sz w:val="52"/>
          <w:szCs w:val="52"/>
          <w:lang w:eastAsia="zh-CN"/>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rPr>
        <w:t>年</w:t>
      </w:r>
      <w:r>
        <w:rPr>
          <w:rFonts w:hint="eastAsia" w:ascii="Times New Roman" w:hAnsi="Times New Roman" w:eastAsia="方正小标宋简体" w:cs="Times New Roman"/>
          <w:color w:val="auto"/>
          <w:sz w:val="44"/>
          <w:szCs w:val="44"/>
          <w:lang w:val="en-US" w:eastAsia="zh-CN"/>
        </w:rPr>
        <w:t>伊川县乡村振兴</w:t>
      </w:r>
      <w:r>
        <w:rPr>
          <w:rFonts w:hint="default" w:ascii="Times New Roman" w:hAnsi="Times New Roman" w:eastAsia="方正小标宋简体" w:cs="Times New Roman"/>
          <w:color w:val="auto"/>
          <w:sz w:val="44"/>
          <w:szCs w:val="44"/>
          <w:lang w:val="en-US" w:eastAsia="zh-CN"/>
        </w:rPr>
        <w:t>局</w:t>
      </w:r>
      <w:r>
        <w:rPr>
          <w:rFonts w:hint="default" w:ascii="Times New Roman" w:hAnsi="Times New Roman" w:eastAsia="方正小标宋简体" w:cs="Times New Roman"/>
          <w:color w:val="auto"/>
          <w:sz w:val="44"/>
          <w:szCs w:val="44"/>
        </w:rPr>
        <w:t>部门预算</w:t>
      </w:r>
      <w:r>
        <w:rPr>
          <w:rFonts w:hint="default" w:ascii="Times New Roman" w:hAnsi="Times New Roman" w:eastAsia="方正小标宋简体" w:cs="Times New Roman"/>
          <w:color w:val="auto"/>
          <w:sz w:val="44"/>
          <w:szCs w:val="44"/>
          <w:lang w:eastAsia="zh-CN"/>
        </w:rPr>
        <w:t>说明</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b w:val="0"/>
          <w:bCs w:val="0"/>
          <w:color w:val="auto"/>
          <w:sz w:val="36"/>
          <w:szCs w:val="36"/>
        </w:rPr>
      </w:pPr>
      <w:r>
        <w:rPr>
          <w:rFonts w:hint="default" w:ascii="Times New Roman" w:hAnsi="Times New Roman" w:eastAsia="黑体" w:cs="Times New Roman"/>
          <w:b w:val="0"/>
          <w:bCs w:val="0"/>
          <w:color w:val="auto"/>
          <w:sz w:val="36"/>
          <w:szCs w:val="36"/>
        </w:rPr>
        <w:t>目 录</w:t>
      </w:r>
    </w:p>
    <w:p>
      <w:pPr>
        <w:keepNext w:val="0"/>
        <w:keepLines w:val="0"/>
        <w:pageBreakBefore w:val="0"/>
        <w:widowControl w:val="0"/>
        <w:numPr>
          <w:ilvl w:val="0"/>
          <w:numId w:val="0"/>
        </w:numPr>
        <w:kinsoku w:val="0"/>
        <w:wordWrap/>
        <w:overflowPunct w:val="0"/>
        <w:topLinePunct w:val="0"/>
        <w:autoSpaceDE/>
        <w:autoSpaceDN/>
        <w:bidi w:val="0"/>
        <w:adjustRightInd w:val="0"/>
        <w:snapToGrid w:val="0"/>
        <w:spacing w:line="600" w:lineRule="exact"/>
        <w:ind w:leftChars="0" w:right="3572" w:rightChars="0" w:firstLine="320" w:firstLineChars="100"/>
        <w:jc w:val="right"/>
        <w:textAlignment w:val="auto"/>
        <w:outlineLvl w:val="9"/>
        <w:rPr>
          <w:rFonts w:hint="default" w:ascii="Times New Roman" w:hAnsi="Times New Roman" w:eastAsia="黑体" w:cs="Times New Roman"/>
          <w:color w:val="auto"/>
          <w:w w:val="99"/>
          <w:sz w:val="32"/>
          <w:szCs w:val="32"/>
        </w:rPr>
      </w:pPr>
      <w:r>
        <w:rPr>
          <w:rFonts w:hint="default" w:ascii="Times New Roman" w:hAnsi="Times New Roman" w:eastAsia="黑体" w:cs="Times New Roman"/>
          <w:color w:val="auto"/>
          <w:sz w:val="32"/>
          <w:szCs w:val="32"/>
        </w:rPr>
        <w:t>第一部分</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eastAsia="zh-CN"/>
        </w:rPr>
        <w:t>伊川县乡村振兴局概况</w:t>
      </w:r>
    </w:p>
    <w:p>
      <w:pPr>
        <w:keepNext w:val="0"/>
        <w:keepLines w:val="0"/>
        <w:pageBreakBefore w:val="0"/>
        <w:widowControl w:val="0"/>
        <w:kinsoku w:val="0"/>
        <w:wordWrap/>
        <w:overflowPunct w:val="0"/>
        <w:topLinePunct w:val="0"/>
        <w:bidi w:val="0"/>
        <w:adjustRightInd w:val="0"/>
        <w:snapToGrid w:val="0"/>
        <w:spacing w:line="600" w:lineRule="exact"/>
        <w:ind w:right="24" w:rightChars="0" w:firstLine="960" w:firstLineChars="3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一、主要职</w:t>
      </w:r>
      <w:r>
        <w:rPr>
          <w:rFonts w:hint="default" w:ascii="Times New Roman" w:hAnsi="Times New Roman" w:eastAsia="仿宋_GB2312" w:cs="Times New Roman"/>
          <w:color w:val="auto"/>
          <w:sz w:val="32"/>
          <w:szCs w:val="32"/>
          <w:lang w:eastAsia="zh-CN"/>
        </w:rPr>
        <w:t>责</w:t>
      </w:r>
    </w:p>
    <w:p>
      <w:pPr>
        <w:keepNext w:val="0"/>
        <w:keepLines w:val="0"/>
        <w:pageBreakBefore w:val="0"/>
        <w:widowControl w:val="0"/>
        <w:kinsoku w:val="0"/>
        <w:wordWrap/>
        <w:overflowPunct w:val="0"/>
        <w:topLinePunct w:val="0"/>
        <w:bidi w:val="0"/>
        <w:adjustRightInd w:val="0"/>
        <w:snapToGrid w:val="0"/>
        <w:spacing w:line="600" w:lineRule="exact"/>
        <w:ind w:right="112" w:rightChars="0"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二、部门</w:t>
      </w:r>
      <w:r>
        <w:rPr>
          <w:rFonts w:hint="default" w:ascii="Times New Roman" w:hAnsi="Times New Roman" w:eastAsia="仿宋_GB2312" w:cs="Times New Roman"/>
          <w:color w:val="auto"/>
          <w:sz w:val="32"/>
          <w:szCs w:val="32"/>
          <w:highlight w:val="none"/>
          <w:lang w:eastAsia="zh-CN"/>
        </w:rPr>
        <w:t>所属</w:t>
      </w:r>
      <w:r>
        <w:rPr>
          <w:rFonts w:hint="default" w:ascii="Times New Roman" w:hAnsi="Times New Roman" w:eastAsia="仿宋_GB2312" w:cs="Times New Roman"/>
          <w:color w:val="auto"/>
          <w:sz w:val="32"/>
          <w:szCs w:val="32"/>
          <w:highlight w:val="none"/>
        </w:rPr>
        <w:t>预算单位</w:t>
      </w:r>
      <w:r>
        <w:rPr>
          <w:rFonts w:hint="default" w:ascii="Times New Roman" w:hAnsi="Times New Roman" w:eastAsia="仿宋_GB2312" w:cs="Times New Roman"/>
          <w:color w:val="auto"/>
          <w:sz w:val="32"/>
          <w:szCs w:val="32"/>
          <w:highlight w:val="none"/>
          <w:lang w:eastAsia="zh-CN"/>
        </w:rPr>
        <w:t>构成情况</w:t>
      </w:r>
    </w:p>
    <w:p>
      <w:pPr>
        <w:keepNext w:val="0"/>
        <w:keepLines w:val="0"/>
        <w:pageBreakBefore w:val="0"/>
        <w:widowControl w:val="0"/>
        <w:kinsoku w:val="0"/>
        <w:wordWrap/>
        <w:overflowPunct w:val="0"/>
        <w:topLinePunct w:val="0"/>
        <w:bidi w:val="0"/>
        <w:adjustRightInd w:val="0"/>
        <w:snapToGrid w:val="0"/>
        <w:spacing w:line="600" w:lineRule="exact"/>
        <w:ind w:right="521" w:firstLine="640" w:firstLineChars="200"/>
        <w:textAlignment w:val="auto"/>
        <w:outlineLvl w:val="9"/>
        <w:rPr>
          <w:rFonts w:hint="default" w:ascii="Times New Roman" w:hAnsi="Times New Roman" w:eastAsia="黑体" w:cs="Times New Roman"/>
          <w:color w:val="auto"/>
          <w:w w:val="99"/>
          <w:sz w:val="32"/>
          <w:szCs w:val="32"/>
        </w:rPr>
      </w:pPr>
      <w:r>
        <w:rPr>
          <w:rFonts w:hint="default" w:ascii="Times New Roman" w:hAnsi="Times New Roman" w:eastAsia="黑体" w:cs="Times New Roman"/>
          <w:color w:val="auto"/>
          <w:sz w:val="32"/>
          <w:szCs w:val="32"/>
        </w:rPr>
        <w:t>第二部分</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202</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val="en-US" w:eastAsia="zh-CN"/>
        </w:rPr>
        <w:t>伊川县</w:t>
      </w:r>
      <w:r>
        <w:rPr>
          <w:rFonts w:hint="eastAsia" w:ascii="Times New Roman" w:hAnsi="Times New Roman" w:eastAsia="黑体" w:cs="Times New Roman"/>
          <w:color w:val="auto"/>
          <w:sz w:val="32"/>
          <w:szCs w:val="32"/>
          <w:lang w:eastAsia="zh-CN"/>
        </w:rPr>
        <w:t>乡村振兴</w:t>
      </w:r>
      <w:r>
        <w:rPr>
          <w:rFonts w:hint="default" w:ascii="Times New Roman" w:hAnsi="Times New Roman" w:eastAsia="黑体" w:cs="Times New Roman"/>
          <w:color w:val="auto"/>
          <w:sz w:val="32"/>
          <w:szCs w:val="32"/>
          <w:lang w:eastAsia="zh-CN"/>
        </w:rPr>
        <w:t>局</w:t>
      </w:r>
      <w:r>
        <w:rPr>
          <w:rFonts w:hint="default" w:ascii="Times New Roman" w:hAnsi="Times New Roman" w:eastAsia="黑体" w:cs="Times New Roman"/>
          <w:color w:val="auto"/>
          <w:sz w:val="32"/>
          <w:szCs w:val="32"/>
        </w:rPr>
        <w:t>部门预算情况说明</w:t>
      </w:r>
    </w:p>
    <w:p>
      <w:pPr>
        <w:keepNext w:val="0"/>
        <w:keepLines w:val="0"/>
        <w:pageBreakBefore w:val="0"/>
        <w:widowControl w:val="0"/>
        <w:kinsoku w:val="0"/>
        <w:wordWrap/>
        <w:overflowPunct w:val="0"/>
        <w:topLinePunct w:val="0"/>
        <w:bidi w:val="0"/>
        <w:adjustRightInd w:val="0"/>
        <w:snapToGrid w:val="0"/>
        <w:spacing w:line="600" w:lineRule="exact"/>
        <w:ind w:right="521"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w:t>
      </w:r>
      <w:r>
        <w:rPr>
          <w:rFonts w:hint="default" w:ascii="Times New Roman" w:hAnsi="Times New Roman" w:eastAsia="黑体" w:cs="Times New Roman"/>
          <w:color w:val="auto"/>
          <w:spacing w:val="-32"/>
          <w:sz w:val="32"/>
          <w:szCs w:val="32"/>
        </w:rPr>
        <w:t xml:space="preserve"> </w:t>
      </w:r>
      <w:r>
        <w:rPr>
          <w:rFonts w:hint="default" w:ascii="Times New Roman" w:hAnsi="Times New Roman" w:eastAsia="黑体" w:cs="Times New Roman"/>
          <w:color w:val="auto"/>
          <w:sz w:val="32"/>
          <w:szCs w:val="32"/>
        </w:rPr>
        <w:t>名词解释</w:t>
      </w:r>
    </w:p>
    <w:p>
      <w:pPr>
        <w:keepNext w:val="0"/>
        <w:keepLines w:val="0"/>
        <w:pageBreakBefore w:val="0"/>
        <w:widowControl w:val="0"/>
        <w:kinsoku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附件：202</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eastAsia="zh-CN"/>
        </w:rPr>
        <w:t>伊川县乡村振兴</w:t>
      </w:r>
      <w:r>
        <w:rPr>
          <w:rFonts w:hint="default" w:ascii="Times New Roman" w:hAnsi="Times New Roman" w:eastAsia="黑体" w:cs="Times New Roman"/>
          <w:color w:val="auto"/>
          <w:sz w:val="32"/>
          <w:szCs w:val="32"/>
          <w:lang w:eastAsia="zh-CN"/>
        </w:rPr>
        <w:t>局</w:t>
      </w:r>
      <w:r>
        <w:rPr>
          <w:rFonts w:hint="default" w:ascii="Times New Roman" w:hAnsi="Times New Roman" w:eastAsia="黑体" w:cs="Times New Roman"/>
          <w:color w:val="auto"/>
          <w:sz w:val="32"/>
          <w:szCs w:val="32"/>
        </w:rPr>
        <w:t>部门预算表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一、部门收支</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二、部门收入</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三、部门支出</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四、财政拨款收支</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五、一般公共预算支出</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六、一般公共预算基本支出预算表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支出经济分类汇总表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、一般公共预算“三公”经费</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、政府性基金预算支出</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十、国有资本经营预算支出预算表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十一、项目支出预算表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部门</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整体绩效目标表</w:t>
      </w:r>
    </w:p>
    <w:p>
      <w:pPr>
        <w:keepNext w:val="0"/>
        <w:keepLines w:val="0"/>
        <w:pageBreakBefore w:val="0"/>
        <w:widowControl w:val="0"/>
        <w:kinsoku w:val="0"/>
        <w:wordWrap/>
        <w:overflowPunct w:val="0"/>
        <w:topLinePunct w:val="0"/>
        <w:bidi w:val="0"/>
        <w:adjustRightInd w:val="0"/>
        <w:snapToGrid w:val="0"/>
        <w:spacing w:line="600" w:lineRule="exact"/>
        <w:ind w:right="51" w:firstLine="960" w:firstLineChars="3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部门</w:t>
      </w:r>
      <w:r>
        <w:rPr>
          <w:rFonts w:hint="eastAsia" w:ascii="Times New Roman" w:hAnsi="Times New Roman" w:eastAsia="仿宋_GB2312" w:cs="Times New Roman"/>
          <w:color w:val="auto"/>
          <w:sz w:val="32"/>
          <w:szCs w:val="32"/>
          <w:lang w:eastAsia="zh-CN"/>
        </w:rPr>
        <w:t>预算项目</w:t>
      </w:r>
      <w:r>
        <w:rPr>
          <w:rFonts w:hint="default" w:ascii="Times New Roman" w:hAnsi="Times New Roman" w:eastAsia="仿宋_GB2312" w:cs="Times New Roman"/>
          <w:color w:val="auto"/>
          <w:sz w:val="32"/>
          <w:szCs w:val="32"/>
        </w:rPr>
        <w:t>绩效目标表</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36"/>
          <w:szCs w:val="36"/>
        </w:rPr>
        <w:t>第一部分</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eastAsia="zh-CN"/>
        </w:rPr>
        <w:t>伊川县乡村振兴</w:t>
      </w:r>
      <w:r>
        <w:rPr>
          <w:rFonts w:hint="default" w:ascii="Times New Roman" w:hAnsi="Times New Roman" w:eastAsia="宋体" w:cs="Times New Roman"/>
          <w:b/>
          <w:bCs/>
          <w:color w:val="auto"/>
          <w:sz w:val="32"/>
          <w:szCs w:val="32"/>
          <w:lang w:eastAsia="zh-CN"/>
        </w:rPr>
        <w:t>局</w:t>
      </w:r>
      <w:r>
        <w:rPr>
          <w:rFonts w:hint="default" w:ascii="Times New Roman" w:hAnsi="Times New Roman" w:eastAsia="宋体" w:cs="Times New Roman"/>
          <w:b/>
          <w:bCs/>
          <w:color w:val="auto"/>
          <w:sz w:val="32"/>
          <w:szCs w:val="32"/>
        </w:rPr>
        <w:t>概况</w:t>
      </w:r>
    </w:p>
    <w:p>
      <w:pPr>
        <w:keepNext w:val="0"/>
        <w:keepLines w:val="0"/>
        <w:pageBreakBefore w:val="0"/>
        <w:widowControl w:val="0"/>
        <w:wordWrap/>
        <w:overflowPunct w:val="0"/>
        <w:topLinePunct w:val="0"/>
        <w:bidi w:val="0"/>
        <w:adjustRightInd w:val="0"/>
        <w:snapToGrid w:val="0"/>
        <w:spacing w:line="600" w:lineRule="exact"/>
        <w:ind w:firstLine="640" w:firstLineChars="200"/>
        <w:jc w:val="center"/>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伊川县乡村振兴</w:t>
      </w:r>
      <w:r>
        <w:rPr>
          <w:rFonts w:hint="default" w:ascii="Times New Roman" w:hAnsi="Times New Roman" w:eastAsia="黑体" w:cs="Times New Roman"/>
          <w:color w:val="auto"/>
          <w:sz w:val="32"/>
          <w:szCs w:val="32"/>
          <w:lang w:eastAsia="zh-CN"/>
        </w:rPr>
        <w:t>局</w:t>
      </w:r>
      <w:r>
        <w:rPr>
          <w:rFonts w:hint="default" w:ascii="Times New Roman" w:hAnsi="Times New Roman" w:eastAsia="黑体" w:cs="Times New Roman"/>
          <w:color w:val="auto"/>
          <w:sz w:val="32"/>
          <w:szCs w:val="32"/>
        </w:rPr>
        <w:t>主要职责</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1.贯彻执行上级党委、政府和县委、县政府关于巩固拓展脱贫攻坚成果有效衔接乡村振兴工作的方针、政策，当好县委、县政府在巩固拓展脱贫攻坚成果有效衔接乡村振兴工作中的参谋助手。</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2.研究拟定全县巩固拓展脱贫攻坚成果有效衔接乡村振兴工作的方针、政策和规划发展目标，经批准后组织实施。</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3.认真执行上级扶贫衔接资金管理办法，加强扶贫衔接资金管理，制定年度扶贫计划，拟定扶贫衔接资金使用分配方案，监督、检查扶贫项目实施和资金使用情况。</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4.管理扶贫项目，与财政、农业、水利、交通等有关职能部门协调审定扶贫项目，做好项目的立项审批工作，配合审计、监察部门对扶贫资金项目进行审计和监督检查。</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5.动员全县机关、单位、团体参与社会帮扶，做好国家和省、市机关挂钩、帮扶协调服务工作。</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6.根据国家、省标准，确定监测对象，帮助基层解决帮扶工作中的特殊困难，做好防返贫监测、信息统计工作。</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7.做好“雨露计划”培训工作，提高脱贫劳动力劳动技能和综合素质，指导农村脱贫地区劳动力转移就业。</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8.指导乡镇搞好“产业发展、乡村运营”等帮扶工作。</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eastAsia="zh-CN"/>
        </w:rPr>
        <w:t>9.承办县委、县政府及上级交办的其他事项。</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二、</w:t>
      </w:r>
      <w:r>
        <w:rPr>
          <w:rFonts w:hint="eastAsia" w:ascii="Times New Roman" w:hAnsi="Times New Roman" w:eastAsia="黑体" w:cs="Times New Roman"/>
          <w:color w:val="auto"/>
          <w:sz w:val="32"/>
          <w:szCs w:val="32"/>
          <w:highlight w:val="none"/>
          <w:lang w:eastAsia="zh-CN"/>
        </w:rPr>
        <w:t>伊川县乡村振兴</w:t>
      </w:r>
      <w:r>
        <w:rPr>
          <w:rFonts w:hint="default" w:ascii="Times New Roman" w:hAnsi="Times New Roman" w:eastAsia="黑体" w:cs="Times New Roman"/>
          <w:color w:val="auto"/>
          <w:sz w:val="32"/>
          <w:szCs w:val="32"/>
          <w:highlight w:val="none"/>
          <w:lang w:eastAsia="zh-CN"/>
        </w:rPr>
        <w:t>局</w:t>
      </w:r>
      <w:r>
        <w:rPr>
          <w:rFonts w:hint="eastAsia" w:ascii="Times New Roman" w:hAnsi="Times New Roman" w:eastAsia="黑体" w:cs="Times New Roman"/>
          <w:color w:val="auto"/>
          <w:sz w:val="32"/>
          <w:szCs w:val="32"/>
          <w:highlight w:val="none"/>
          <w:lang w:eastAsia="zh-CN"/>
        </w:rPr>
        <w:t>部门</w:t>
      </w:r>
      <w:r>
        <w:rPr>
          <w:rFonts w:hint="default" w:ascii="Times New Roman" w:hAnsi="Times New Roman" w:eastAsia="黑体" w:cs="Times New Roman"/>
          <w:color w:val="auto"/>
          <w:sz w:val="32"/>
          <w:szCs w:val="32"/>
          <w:highlight w:val="none"/>
          <w:lang w:eastAsia="zh-CN"/>
        </w:rPr>
        <w:t>预算单位</w:t>
      </w:r>
      <w:r>
        <w:rPr>
          <w:rFonts w:hint="default" w:ascii="Times New Roman" w:hAnsi="Times New Roman" w:eastAsia="黑体" w:cs="Times New Roman"/>
          <w:color w:val="auto"/>
          <w:sz w:val="32"/>
          <w:szCs w:val="32"/>
          <w:highlight w:val="none"/>
        </w:rPr>
        <w:t>构成</w:t>
      </w:r>
      <w:r>
        <w:rPr>
          <w:rFonts w:hint="default" w:ascii="Times New Roman" w:hAnsi="Times New Roman" w:eastAsia="黑体" w:cs="Times New Roman"/>
          <w:color w:val="auto"/>
          <w:sz w:val="32"/>
          <w:szCs w:val="32"/>
          <w:highlight w:val="none"/>
          <w:lang w:eastAsia="zh-CN"/>
        </w:rPr>
        <w:t>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right="118"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伊川县乡村振兴局部门预算包括局机关本级预算</w:t>
      </w:r>
      <w:r>
        <w:rPr>
          <w:rFonts w:hint="default" w:ascii="Times New Roman" w:hAnsi="Times New Roman" w:eastAsia="仿宋_GB2312" w:cs="Times New Roman"/>
          <w:color w:val="auto"/>
          <w:spacing w:val="2"/>
          <w:kern w:val="0"/>
          <w:sz w:val="32"/>
          <w:szCs w:val="32"/>
        </w:rPr>
        <w:t>和</w:t>
      </w:r>
      <w:r>
        <w:rPr>
          <w:rFonts w:hint="default" w:ascii="Times New Roman" w:hAnsi="Times New Roman" w:eastAsia="仿宋_GB2312" w:cs="Times New Roman"/>
          <w:color w:val="auto"/>
          <w:spacing w:val="2"/>
          <w:kern w:val="0"/>
          <w:sz w:val="32"/>
          <w:szCs w:val="32"/>
          <w:lang w:eastAsia="zh-CN"/>
        </w:rPr>
        <w:t>所属</w:t>
      </w:r>
      <w:r>
        <w:rPr>
          <w:rFonts w:hint="default" w:ascii="Times New Roman" w:hAnsi="Times New Roman" w:eastAsia="仿宋_GB2312" w:cs="Times New Roman"/>
          <w:color w:val="auto"/>
          <w:spacing w:val="-1"/>
          <w:kern w:val="0"/>
          <w:sz w:val="32"/>
          <w:szCs w:val="32"/>
        </w:rPr>
        <w:t>单位预算</w:t>
      </w:r>
      <w:r>
        <w:rPr>
          <w:rFonts w:hint="eastAsia" w:ascii="Times New Roman" w:hAnsi="Times New Roman" w:eastAsia="仿宋_GB2312" w:cs="Times New Roman"/>
          <w:color w:val="auto"/>
          <w:sz w:val="32"/>
          <w:szCs w:val="32"/>
          <w:highlight w:val="none"/>
          <w:lang w:eastAsia="zh-CN"/>
        </w:rPr>
        <w:t>在内的汇总预算。</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right="118"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伊川县乡村振兴局本级</w:t>
      </w:r>
      <w:r>
        <w:rPr>
          <w:rFonts w:hint="default" w:ascii="Times New Roman" w:hAnsi="Times New Roman" w:eastAsia="仿宋_GB2312" w:cs="Times New Roman"/>
          <w:color w:val="auto"/>
          <w:sz w:val="32"/>
          <w:szCs w:val="32"/>
          <w:highlight w:val="none"/>
          <w:lang w:eastAsia="zh-CN"/>
        </w:rPr>
        <w:t>预算</w:t>
      </w:r>
      <w:r>
        <w:rPr>
          <w:rFonts w:hint="eastAsia" w:ascii="Times New Roman" w:hAnsi="Times New Roman" w:eastAsia="仿宋_GB2312" w:cs="Times New Roman"/>
          <w:color w:val="auto"/>
          <w:sz w:val="32"/>
          <w:szCs w:val="32"/>
          <w:highlight w:val="none"/>
          <w:lang w:eastAsia="zh-CN"/>
        </w:rPr>
        <w:t>包括</w:t>
      </w:r>
      <w:r>
        <w:rPr>
          <w:rFonts w:hint="default" w:ascii="Times New Roman" w:hAnsi="Times New Roman" w:eastAsia="仿宋_GB2312" w:cs="Times New Roman"/>
          <w:color w:val="auto"/>
          <w:sz w:val="32"/>
          <w:szCs w:val="32"/>
          <w:highlight w:val="none"/>
          <w:lang w:eastAsia="zh-CN"/>
        </w:rPr>
        <w:t>综合股、资金项目管理股、对口扶贫股、乡村振兴监测中心</w:t>
      </w:r>
      <w:r>
        <w:rPr>
          <w:rFonts w:hint="eastAsia" w:ascii="Times New Roman" w:hAnsi="Times New Roman" w:eastAsia="仿宋_GB2312" w:cs="Times New Roman"/>
          <w:color w:val="auto"/>
          <w:sz w:val="32"/>
          <w:szCs w:val="32"/>
          <w:highlight w:val="none"/>
          <w:lang w:eastAsia="zh-CN"/>
        </w:rPr>
        <w:t>的预算</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伊川县乡村振兴局所属单位预算包括：无</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right="118" w:firstLine="640" w:firstLineChars="200"/>
        <w:jc w:val="left"/>
        <w:textAlignment w:val="auto"/>
        <w:outlineLvl w:val="9"/>
        <w:rPr>
          <w:rFonts w:hint="eastAsia" w:ascii="Times New Roman" w:hAnsi="Times New Roman" w:eastAsia="仿宋_GB2312" w:cs="Times New Roman"/>
          <w:color w:val="auto"/>
          <w:sz w:val="32"/>
          <w:szCs w:val="32"/>
          <w:highlight w:val="none"/>
          <w:lang w:eastAsia="zh-CN"/>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第二部分</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202</w:t>
      </w:r>
      <w:r>
        <w:rPr>
          <w:rFonts w:hint="default" w:ascii="Times New Roman" w:hAnsi="Times New Roman" w:eastAsia="宋体" w:cs="Times New Roman"/>
          <w:b/>
          <w:bCs/>
          <w:color w:val="auto"/>
          <w:sz w:val="32"/>
          <w:szCs w:val="32"/>
          <w:lang w:val="en-US" w:eastAsia="zh-CN"/>
        </w:rPr>
        <w:t>2</w:t>
      </w:r>
      <w:r>
        <w:rPr>
          <w:rFonts w:hint="default" w:ascii="Times New Roman" w:hAnsi="Times New Roman" w:eastAsia="宋体" w:cs="Times New Roman"/>
          <w:b/>
          <w:bCs/>
          <w:color w:val="auto"/>
          <w:sz w:val="32"/>
          <w:szCs w:val="32"/>
        </w:rPr>
        <w:t>年</w:t>
      </w:r>
      <w:r>
        <w:rPr>
          <w:rFonts w:hint="eastAsia" w:ascii="Times New Roman" w:hAnsi="Times New Roman" w:eastAsia="宋体" w:cs="Times New Roman"/>
          <w:b/>
          <w:bCs/>
          <w:color w:val="auto"/>
          <w:sz w:val="32"/>
          <w:szCs w:val="32"/>
          <w:lang w:eastAsia="zh-CN"/>
        </w:rPr>
        <w:t>伊川县乡</w:t>
      </w:r>
      <w:r>
        <w:rPr>
          <w:rFonts w:hint="eastAsia" w:ascii="Times New Roman" w:hAnsi="Times New Roman" w:cs="Times New Roman"/>
          <w:b/>
          <w:bCs/>
          <w:color w:val="auto"/>
          <w:sz w:val="32"/>
          <w:szCs w:val="32"/>
          <w:lang w:eastAsia="zh-CN"/>
        </w:rPr>
        <w:t>村振</w:t>
      </w:r>
      <w:r>
        <w:rPr>
          <w:rFonts w:hint="eastAsia" w:ascii="Times New Roman" w:hAnsi="Times New Roman" w:eastAsia="宋体" w:cs="Times New Roman"/>
          <w:b/>
          <w:bCs/>
          <w:color w:val="auto"/>
          <w:sz w:val="32"/>
          <w:szCs w:val="32"/>
          <w:lang w:eastAsia="zh-CN"/>
        </w:rPr>
        <w:t>兴</w:t>
      </w:r>
      <w:r>
        <w:rPr>
          <w:rFonts w:hint="default" w:ascii="Times New Roman" w:hAnsi="Times New Roman" w:eastAsia="宋体" w:cs="Times New Roman"/>
          <w:b/>
          <w:bCs/>
          <w:color w:val="auto"/>
          <w:sz w:val="32"/>
          <w:szCs w:val="32"/>
          <w:lang w:eastAsia="zh-CN"/>
        </w:rPr>
        <w:t>局</w:t>
      </w:r>
      <w:r>
        <w:rPr>
          <w:rFonts w:hint="default" w:ascii="Times New Roman" w:hAnsi="Times New Roman" w:eastAsia="宋体" w:cs="Times New Roman"/>
          <w:b/>
          <w:bCs/>
          <w:color w:val="auto"/>
          <w:sz w:val="32"/>
          <w:szCs w:val="32"/>
        </w:rPr>
        <w:t>部门预算情况说明</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一、收入支出预算总体情况说明</w:t>
      </w:r>
    </w:p>
    <w:p>
      <w:pPr>
        <w:keepNext w:val="0"/>
        <w:keepLines w:val="0"/>
        <w:pageBreakBefore w:val="0"/>
        <w:widowControl w:val="0"/>
        <w:wordWrap/>
        <w:overflowPunct w:val="0"/>
        <w:topLinePunct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年收入总计</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color w:val="auto"/>
          <w:sz w:val="32"/>
          <w:szCs w:val="32"/>
        </w:rPr>
        <w:t>万元，支出总计</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color w:val="auto"/>
          <w:sz w:val="32"/>
          <w:szCs w:val="32"/>
          <w:lang w:eastAsia="zh-CN"/>
        </w:rPr>
        <w:t>与2021年预算相比，收入增加</w:t>
      </w:r>
      <w:r>
        <w:rPr>
          <w:rFonts w:hint="eastAsia" w:ascii="Times New Roman" w:hAnsi="Times New Roman" w:eastAsia="仿宋_GB2312" w:cs="Times New Roman"/>
          <w:color w:val="auto"/>
          <w:sz w:val="32"/>
          <w:szCs w:val="32"/>
          <w:lang w:val="en-US" w:eastAsia="zh-CN"/>
        </w:rPr>
        <w:t>6386.25</w:t>
      </w:r>
      <w:r>
        <w:rPr>
          <w:rFonts w:hint="default" w:ascii="Times New Roman" w:hAnsi="Times New Roman" w:eastAsia="仿宋_GB2312" w:cs="Times New Roman"/>
          <w:color w:val="auto"/>
          <w:sz w:val="32"/>
          <w:szCs w:val="32"/>
          <w:lang w:eastAsia="zh-CN"/>
        </w:rPr>
        <w:t>万元，增长</w:t>
      </w:r>
      <w:r>
        <w:rPr>
          <w:rFonts w:hint="eastAsia" w:ascii="Times New Roman" w:hAnsi="Times New Roman" w:eastAsia="仿宋_GB2312" w:cs="Times New Roman"/>
          <w:color w:val="auto"/>
          <w:sz w:val="32"/>
          <w:szCs w:val="32"/>
          <w:lang w:val="en-US" w:eastAsia="zh-CN"/>
        </w:rPr>
        <w:t>1639.13</w:t>
      </w:r>
      <w:r>
        <w:rPr>
          <w:rFonts w:hint="default" w:ascii="Times New Roman" w:hAnsi="Times New Roman" w:eastAsia="仿宋_GB2312" w:cs="Times New Roman"/>
          <w:color w:val="auto"/>
          <w:sz w:val="32"/>
          <w:szCs w:val="32"/>
          <w:lang w:eastAsia="zh-CN"/>
        </w:rPr>
        <w:t>%。主要原因：</w:t>
      </w:r>
      <w:r>
        <w:rPr>
          <w:rFonts w:hint="eastAsia" w:ascii="Times New Roman" w:hAnsi="Times New Roman" w:eastAsia="仿宋_GB2312" w:cs="Times New Roman"/>
          <w:color w:val="auto"/>
          <w:sz w:val="32"/>
          <w:szCs w:val="32"/>
          <w:lang w:eastAsia="zh-CN"/>
        </w:rPr>
        <w:t>加大扶贫项目投入</w:t>
      </w:r>
      <w:r>
        <w:rPr>
          <w:rFonts w:hint="default" w:ascii="Times New Roman" w:hAnsi="Times New Roman" w:eastAsia="仿宋_GB2312" w:cs="Times New Roman"/>
          <w:color w:val="auto"/>
          <w:sz w:val="32"/>
          <w:szCs w:val="32"/>
        </w:rPr>
        <w:t>;支出增加</w:t>
      </w:r>
      <w:r>
        <w:rPr>
          <w:rFonts w:hint="eastAsia" w:ascii="Times New Roman" w:hAnsi="Times New Roman" w:eastAsia="仿宋_GB2312" w:cs="Times New Roman"/>
          <w:color w:val="auto"/>
          <w:sz w:val="32"/>
          <w:szCs w:val="32"/>
          <w:lang w:val="en-US" w:eastAsia="zh-CN"/>
        </w:rPr>
        <w:t>6386.25</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，增长</w:t>
      </w:r>
      <w:r>
        <w:rPr>
          <w:rFonts w:hint="eastAsia" w:ascii="Times New Roman" w:hAnsi="Times New Roman" w:eastAsia="仿宋_GB2312" w:cs="Times New Roman"/>
          <w:color w:val="auto"/>
          <w:sz w:val="32"/>
          <w:szCs w:val="32"/>
          <w:lang w:val="en-US" w:eastAsia="zh-CN"/>
        </w:rPr>
        <w:t>1639.13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加大扶贫项目投入</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二、收入预算总体情况说明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年收入合计</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，其中：一般公共预算</w:t>
      </w:r>
      <w:r>
        <w:rPr>
          <w:rFonts w:hint="eastAsia" w:ascii="Times New Roman" w:hAnsi="Times New Roman" w:eastAsia="仿宋_GB2312" w:cs="Times New Roman"/>
          <w:color w:val="auto"/>
          <w:sz w:val="32"/>
          <w:szCs w:val="32"/>
          <w:lang w:val="en-US" w:eastAsia="zh-CN"/>
        </w:rPr>
        <w:t>6625.31</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财政性结转资金</w:t>
      </w:r>
      <w:r>
        <w:rPr>
          <w:rFonts w:hint="eastAsia" w:ascii="Times New Roman" w:hAnsi="Times New Roman" w:eastAsia="仿宋_GB2312" w:cs="Times New Roman"/>
          <w:color w:val="auto"/>
          <w:sz w:val="32"/>
          <w:szCs w:val="32"/>
          <w:lang w:val="en-US" w:eastAsia="zh-CN"/>
        </w:rPr>
        <w:t>150.55</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三、支出预算总体情况说明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年支出合计</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375.86</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5.55</w:t>
      </w:r>
      <w:r>
        <w:rPr>
          <w:rFonts w:hint="default"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6400.00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94.45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四、财政拨款收入支出预算总体情况说明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年一般公共预算收支预算</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，政府性基金收支预算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年相比，一般公共预算收支预算增加</w:t>
      </w:r>
      <w:r>
        <w:rPr>
          <w:rFonts w:hint="eastAsia" w:ascii="Times New Roman" w:hAnsi="Times New Roman" w:eastAsia="仿宋_GB2312" w:cs="Times New Roman"/>
          <w:color w:val="auto"/>
          <w:sz w:val="32"/>
          <w:szCs w:val="32"/>
          <w:lang w:val="en-US" w:eastAsia="zh-CN"/>
        </w:rPr>
        <w:t>6386.25</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，增长</w:t>
      </w:r>
      <w:r>
        <w:rPr>
          <w:rFonts w:hint="eastAsia" w:ascii="Times New Roman" w:hAnsi="Times New Roman" w:eastAsia="仿宋_GB2312" w:cs="Times New Roman"/>
          <w:color w:val="auto"/>
          <w:sz w:val="32"/>
          <w:szCs w:val="32"/>
          <w:lang w:val="en-US" w:eastAsia="zh-CN"/>
        </w:rPr>
        <w:t>94.43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：加大扶贫项目投入</w:t>
      </w:r>
      <w:r>
        <w:rPr>
          <w:rFonts w:hint="default" w:ascii="Times New Roman" w:hAnsi="Times New Roman" w:eastAsia="仿宋_GB2312" w:cs="Times New Roman"/>
          <w:color w:val="auto"/>
          <w:sz w:val="32"/>
          <w:szCs w:val="32"/>
        </w:rPr>
        <w:t>；政府性基金收支预算增加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五、一般公共预算支出预算情况说明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年一般公共预算支出年初预算为</w:t>
      </w:r>
      <w:r>
        <w:rPr>
          <w:rFonts w:hint="eastAsia" w:ascii="Times New Roman" w:hAnsi="Times New Roman" w:eastAsia="仿宋_GB2312" w:cs="Times New Roman"/>
          <w:color w:val="auto"/>
          <w:sz w:val="32"/>
          <w:szCs w:val="32"/>
          <w:lang w:val="en-US" w:eastAsia="zh-CN"/>
        </w:rPr>
        <w:t>6775.86</w:t>
      </w:r>
      <w:r>
        <w:rPr>
          <w:rFonts w:hint="default" w:ascii="Times New Roman" w:hAnsi="Times New Roman" w:eastAsia="仿宋_GB2312" w:cs="Times New Roman"/>
          <w:color w:val="auto"/>
          <w:sz w:val="32"/>
          <w:szCs w:val="32"/>
          <w:lang w:eastAsia="zh-CN"/>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eastAsia="zh-CN"/>
        </w:rPr>
        <w:t>其中：基本支出</w:t>
      </w:r>
      <w:r>
        <w:rPr>
          <w:rFonts w:hint="eastAsia" w:ascii="Times New Roman" w:hAnsi="Times New Roman" w:eastAsia="仿宋_GB2312" w:cs="Times New Roman"/>
          <w:color w:val="auto"/>
          <w:sz w:val="32"/>
          <w:szCs w:val="32"/>
          <w:lang w:val="en-US" w:eastAsia="zh-CN"/>
        </w:rPr>
        <w:t>375.86</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5.55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6400.00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94.45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kern w:val="0"/>
          <w:sz w:val="32"/>
          <w:szCs w:val="32"/>
          <w:highlight w:val="none"/>
        </w:rPr>
        <w:t>六、</w:t>
      </w:r>
      <w:r>
        <w:rPr>
          <w:rFonts w:hint="default" w:ascii="Times New Roman" w:hAnsi="Times New Roman" w:eastAsia="黑体" w:cs="Times New Roman"/>
          <w:color w:val="auto"/>
          <w:sz w:val="32"/>
          <w:highlight w:val="none"/>
          <w:lang w:eastAsia="zh-CN"/>
        </w:rPr>
        <w:t>一般公共预算基本支出预算情况说明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年一般公共预算</w:t>
      </w:r>
      <w:r>
        <w:rPr>
          <w:rFonts w:hint="default" w:ascii="Times New Roman" w:hAnsi="Times New Roman" w:eastAsia="仿宋_GB2312" w:cs="Times New Roman"/>
          <w:color w:val="auto"/>
          <w:sz w:val="32"/>
          <w:szCs w:val="32"/>
          <w:lang w:eastAsia="zh-CN"/>
        </w:rPr>
        <w:t>基本</w:t>
      </w:r>
      <w:r>
        <w:rPr>
          <w:rFonts w:hint="default" w:ascii="Times New Roman" w:hAnsi="Times New Roman" w:eastAsia="仿宋_GB2312" w:cs="Times New Roman"/>
          <w:color w:val="auto"/>
          <w:sz w:val="32"/>
          <w:szCs w:val="32"/>
        </w:rPr>
        <w:t>支出年初预算为</w:t>
      </w:r>
      <w:r>
        <w:rPr>
          <w:rFonts w:hint="eastAsia" w:ascii="Times New Roman" w:hAnsi="Times New Roman" w:eastAsia="仿宋_GB2312" w:cs="Times New Roman"/>
          <w:color w:val="auto"/>
          <w:sz w:val="32"/>
          <w:szCs w:val="32"/>
          <w:lang w:val="en-US" w:eastAsia="zh-CN"/>
        </w:rPr>
        <w:t>375.86</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其中：人员经费支出</w:t>
      </w:r>
      <w:r>
        <w:rPr>
          <w:rFonts w:hint="eastAsia" w:ascii="Times New Roman" w:hAnsi="Times New Roman" w:eastAsia="仿宋_GB2312" w:cs="Times New Roman"/>
          <w:color w:val="auto"/>
          <w:sz w:val="32"/>
          <w:szCs w:val="32"/>
          <w:lang w:val="en-US" w:eastAsia="zh-CN"/>
        </w:rPr>
        <w:t>238.07</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63.34</w:t>
      </w:r>
      <w:r>
        <w:rPr>
          <w:rFonts w:hint="default" w:ascii="Times New Roman" w:hAnsi="Times New Roman" w:eastAsia="仿宋_GB2312" w:cs="Times New Roman"/>
          <w:color w:val="auto"/>
          <w:sz w:val="32"/>
          <w:szCs w:val="32"/>
          <w:lang w:eastAsia="zh-CN"/>
        </w:rPr>
        <w:t>%；公用经费</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137.79</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36.66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sz w:val="32"/>
          <w:highlight w:val="none"/>
          <w:lang w:eastAsia="zh-CN"/>
        </w:rPr>
        <w:t>一般公共预算</w:t>
      </w:r>
      <w:r>
        <w:rPr>
          <w:rFonts w:hint="default" w:ascii="Times New Roman" w:hAnsi="Times New Roman" w:eastAsia="黑体" w:cs="Times New Roman"/>
          <w:color w:val="auto"/>
          <w:kern w:val="0"/>
          <w:sz w:val="32"/>
          <w:szCs w:val="32"/>
        </w:rPr>
        <w:t>“三公”经费支出预算情况说明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年“三公”经费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预算为</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2022</w:t>
      </w:r>
      <w:r>
        <w:rPr>
          <w:rFonts w:hint="default" w:ascii="Times New Roman" w:hAnsi="Times New Roman" w:eastAsia="仿宋_GB2312" w:cs="Times New Roman"/>
          <w:color w:val="auto"/>
          <w:sz w:val="32"/>
          <w:szCs w:val="32"/>
        </w:rPr>
        <w:t>年“三公”经费支出预算数比</w:t>
      </w: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年减少</w:t>
      </w:r>
      <w:r>
        <w:rPr>
          <w:rFonts w:hint="eastAsia" w:ascii="Times New Roman" w:hAnsi="Times New Roman" w:eastAsia="仿宋_GB2312" w:cs="Times New Roman"/>
          <w:color w:val="auto"/>
          <w:sz w:val="32"/>
          <w:szCs w:val="32"/>
          <w:lang w:val="en-US" w:eastAsia="zh-CN"/>
        </w:rPr>
        <w:t>9.20</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60.53%。</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具体支出情况如下：</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line="600" w:lineRule="exact"/>
        <w:ind w:firstLine="639"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pacing w:val="-1"/>
          <w:kern w:val="0"/>
          <w:sz w:val="32"/>
          <w:szCs w:val="32"/>
          <w:highlight w:val="none"/>
        </w:rPr>
        <w:t>因公出国（境）费</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pacing w:val="-1"/>
          <w:kern w:val="0"/>
          <w:sz w:val="32"/>
          <w:szCs w:val="32"/>
          <w:highlight w:val="none"/>
        </w:rPr>
        <w:t>，</w:t>
      </w:r>
      <w:r>
        <w:rPr>
          <w:rFonts w:hint="default" w:ascii="Times New Roman" w:hAnsi="Times New Roman" w:eastAsia="仿宋_GB2312" w:cs="Times New Roman"/>
          <w:color w:val="auto"/>
          <w:sz w:val="32"/>
          <w:szCs w:val="32"/>
          <w:highlight w:val="none"/>
        </w:rPr>
        <w:t>主要用于单位工作人员公务出国（境）的住宿费、旅费、伙食补助费、杂费、培训费等支出。预算数</w:t>
      </w:r>
      <w:r>
        <w:rPr>
          <w:rFonts w:hint="default" w:ascii="Times New Roman" w:hAnsi="Times New Roman" w:eastAsia="仿宋_GB2312" w:cs="Times New Roman"/>
          <w:color w:val="auto"/>
          <w:sz w:val="32"/>
          <w:szCs w:val="32"/>
          <w:highlight w:val="none"/>
          <w:lang w:eastAsia="zh-CN"/>
        </w:rPr>
        <w:t>与2021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保持一致。</w:t>
      </w:r>
    </w:p>
    <w:p>
      <w:pPr>
        <w:keepNext w:val="0"/>
        <w:keepLines w:val="0"/>
        <w:pageBreakBefore w:val="0"/>
        <w:widowControl w:val="0"/>
        <w:wordWrap/>
        <w:overflowPunct w:val="0"/>
        <w:topLinePunct w:val="0"/>
        <w:bidi w:val="0"/>
        <w:spacing w:line="600" w:lineRule="exact"/>
        <w:ind w:firstLine="639"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color w:val="auto"/>
          <w:spacing w:val="-1"/>
          <w:kern w:val="0"/>
          <w:sz w:val="32"/>
          <w:szCs w:val="32"/>
          <w:lang w:eastAsia="zh-CN"/>
        </w:rPr>
        <w:t>（二）</w:t>
      </w:r>
      <w:r>
        <w:rPr>
          <w:rFonts w:hint="default" w:ascii="Times New Roman" w:hAnsi="Times New Roman" w:eastAsia="仿宋_GB2312" w:cs="Times New Roman"/>
          <w:b/>
          <w:color w:val="auto"/>
          <w:spacing w:val="-1"/>
          <w:kern w:val="0"/>
          <w:sz w:val="32"/>
          <w:szCs w:val="32"/>
        </w:rPr>
        <w:t>公务接待费</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，主要用于按规定开支的各类公务接待（含外宾接待）支出。</w:t>
      </w:r>
      <w:r>
        <w:rPr>
          <w:rFonts w:hint="eastAsia" w:ascii="Times New Roman" w:hAnsi="Times New Roman" w:eastAsia="仿宋_GB2312" w:cs="Times New Roman"/>
          <w:color w:val="auto"/>
          <w:sz w:val="32"/>
          <w:szCs w:val="32"/>
          <w:lang w:eastAsia="zh-CN"/>
        </w:rPr>
        <w:t>预算数比</w:t>
      </w:r>
      <w:r>
        <w:rPr>
          <w:rFonts w:hint="eastAsia" w:ascii="Times New Roman" w:hAnsi="Times New Roman" w:eastAsia="仿宋_GB2312" w:cs="Times New Roman"/>
          <w:color w:val="auto"/>
          <w:sz w:val="32"/>
          <w:szCs w:val="32"/>
          <w:lang w:val="en-US" w:eastAsia="zh-CN"/>
        </w:rPr>
        <w:t>2021年减少0.30</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lang w:eastAsia="zh-CN"/>
        </w:rPr>
        <w:t>主要原因是</w:t>
      </w:r>
      <w:r>
        <w:rPr>
          <w:rFonts w:hint="eastAsia" w:ascii="Times New Roman" w:hAnsi="Times New Roman" w:eastAsia="仿宋_GB2312" w:cs="Times New Roman"/>
          <w:color w:val="auto"/>
          <w:sz w:val="32"/>
          <w:szCs w:val="32"/>
          <w:lang w:val="en-US" w:eastAsia="zh-CN"/>
        </w:rPr>
        <w:t>节约开支。</w:t>
      </w:r>
    </w:p>
    <w:p>
      <w:pPr>
        <w:keepNext w:val="0"/>
        <w:keepLines w:val="0"/>
        <w:pageBreakBefore w:val="0"/>
        <w:widowControl w:val="0"/>
        <w:wordWrap/>
        <w:overflowPunct w:val="0"/>
        <w:topLinePunct w:val="0"/>
        <w:bidi w:val="0"/>
        <w:spacing w:line="600" w:lineRule="exact"/>
        <w:ind w:firstLine="639"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pacing w:val="-1"/>
          <w:kern w:val="0"/>
          <w:sz w:val="32"/>
          <w:szCs w:val="32"/>
        </w:rPr>
        <w:t>（</w:t>
      </w:r>
      <w:r>
        <w:rPr>
          <w:rFonts w:hint="default" w:ascii="Times New Roman" w:hAnsi="Times New Roman" w:eastAsia="仿宋_GB2312" w:cs="Times New Roman"/>
          <w:b/>
          <w:color w:val="auto"/>
          <w:spacing w:val="-1"/>
          <w:kern w:val="0"/>
          <w:sz w:val="32"/>
          <w:szCs w:val="32"/>
          <w:lang w:eastAsia="zh-CN"/>
        </w:rPr>
        <w:t>三</w:t>
      </w:r>
      <w:r>
        <w:rPr>
          <w:rFonts w:hint="default" w:ascii="Times New Roman" w:hAnsi="Times New Roman" w:eastAsia="仿宋_GB2312" w:cs="Times New Roman"/>
          <w:b/>
          <w:color w:val="auto"/>
          <w:spacing w:val="-1"/>
          <w:kern w:val="0"/>
          <w:sz w:val="32"/>
          <w:szCs w:val="32"/>
        </w:rPr>
        <w:t>）公务用车购置及运行费</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公务用车购置费</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；公务用车运行维护费</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，主要用于开展工作所需公务用车的燃料费、维修费、过路过桥费、保险费、安全奖励费用等支出。公务用车购置费预算数比</w:t>
      </w: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val="en-US" w:eastAsia="zh-CN"/>
        </w:rPr>
        <w:t>：本年度没有购车打算</w:t>
      </w:r>
      <w:r>
        <w:rPr>
          <w:rFonts w:hint="default" w:ascii="Times New Roman" w:hAnsi="Times New Roman" w:eastAsia="仿宋_GB2312" w:cs="Times New Roman"/>
          <w:color w:val="auto"/>
          <w:sz w:val="32"/>
          <w:szCs w:val="32"/>
        </w:rPr>
        <w:t>。公务用车运行维护费预算数比</w:t>
      </w: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年减少</w:t>
      </w:r>
      <w:r>
        <w:rPr>
          <w:rFonts w:hint="eastAsia" w:ascii="Times New Roman" w:hAnsi="Times New Roman" w:eastAsia="仿宋_GB2312" w:cs="Times New Roman"/>
          <w:color w:val="auto"/>
          <w:sz w:val="32"/>
          <w:szCs w:val="32"/>
          <w:lang w:val="en-US" w:eastAsia="zh-CN"/>
        </w:rPr>
        <w:t>9.20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60.53%。</w:t>
      </w:r>
      <w:r>
        <w:rPr>
          <w:rFonts w:hint="default"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严格执行单位公车运行管理制度，出行登记，严禁超公务用车，节约公车</w:t>
      </w:r>
      <w:r>
        <w:rPr>
          <w:rFonts w:hint="eastAsia" w:ascii="Times New Roman" w:hAnsi="Times New Roman" w:eastAsia="仿宋_GB2312" w:cs="Times New Roman"/>
          <w:color w:val="auto"/>
          <w:sz w:val="32"/>
          <w:szCs w:val="32"/>
          <w:lang w:val="en-US" w:eastAsia="zh-CN"/>
        </w:rPr>
        <w:t>运行成本</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、政府性基金支出预算情况说明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政府性基金预算拨款安排的支出。</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九、国有资本经营预算支出预算情况说明</w:t>
      </w:r>
    </w:p>
    <w:p>
      <w:pPr>
        <w:keepNext w:val="0"/>
        <w:keepLines w:val="0"/>
        <w:pageBreakBefore w:val="0"/>
        <w:widowControl w:val="0"/>
        <w:wordWrap/>
        <w:overflowPunct w:val="0"/>
        <w:topLinePunct w:val="0"/>
        <w:bidi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国有资本经营预算拨款安排的支出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36" w:firstLineChars="200"/>
        <w:textAlignment w:val="auto"/>
        <w:outlineLvl w:val="9"/>
        <w:rPr>
          <w:rFonts w:hint="default" w:ascii="Times New Roman" w:hAnsi="Times New Roman" w:eastAsia="仿宋_GB2312" w:cs="Times New Roman"/>
          <w:color w:val="auto"/>
          <w:sz w:val="32"/>
          <w:szCs w:val="32"/>
          <w:highlight w:val="red"/>
        </w:rPr>
      </w:pPr>
      <w:r>
        <w:rPr>
          <w:rFonts w:hint="default" w:ascii="Times New Roman" w:hAnsi="Times New Roman" w:eastAsia="黑体" w:cs="Times New Roman"/>
          <w:color w:val="auto"/>
          <w:spacing w:val="-1"/>
          <w:kern w:val="0"/>
          <w:sz w:val="32"/>
          <w:szCs w:val="32"/>
          <w:lang w:eastAsia="zh-CN"/>
        </w:rPr>
        <w:t>十</w:t>
      </w:r>
      <w:r>
        <w:rPr>
          <w:rFonts w:hint="default" w:ascii="Times New Roman" w:hAnsi="Times New Roman" w:eastAsia="黑体" w:cs="Times New Roman"/>
          <w:color w:val="auto"/>
          <w:spacing w:val="-1"/>
          <w:kern w:val="0"/>
          <w:sz w:val="32"/>
          <w:szCs w:val="32"/>
        </w:rPr>
        <w:t>、其他重要事项情况说明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rPr>
        <w:t>（一）</w:t>
      </w:r>
      <w:r>
        <w:rPr>
          <w:rFonts w:hint="default" w:ascii="Times New Roman" w:hAnsi="Times New Roman" w:eastAsia="仿宋_GB2312" w:cs="Times New Roman"/>
          <w:b/>
          <w:color w:val="auto"/>
          <w:kern w:val="0"/>
          <w:sz w:val="32"/>
          <w:szCs w:val="32"/>
          <w:lang w:eastAsia="zh-CN"/>
        </w:rPr>
        <w:t>行政（事业）单位机构</w:t>
      </w:r>
      <w:r>
        <w:rPr>
          <w:rFonts w:hint="default" w:ascii="Times New Roman" w:hAnsi="Times New Roman" w:eastAsia="仿宋_GB2312" w:cs="Times New Roman"/>
          <w:b/>
          <w:color w:val="auto"/>
          <w:kern w:val="0"/>
          <w:sz w:val="32"/>
          <w:szCs w:val="32"/>
        </w:rPr>
        <w:t>运行经费支出</w:t>
      </w:r>
      <w:r>
        <w:rPr>
          <w:rFonts w:hint="default" w:ascii="Times New Roman" w:hAnsi="Times New Roman" w:eastAsia="仿宋_GB2312" w:cs="Times New Roman"/>
          <w:b/>
          <w:color w:val="auto"/>
          <w:kern w:val="0"/>
          <w:sz w:val="32"/>
          <w:szCs w:val="32"/>
          <w:lang w:eastAsia="zh-CN"/>
        </w:rPr>
        <w:t>预算</w:t>
      </w:r>
      <w:r>
        <w:rPr>
          <w:rFonts w:hint="default" w:ascii="Times New Roman" w:hAnsi="Times New Roman" w:eastAsia="仿宋_GB2312" w:cs="Times New Roman"/>
          <w:b/>
          <w:color w:val="auto"/>
          <w:kern w:val="0"/>
          <w:sz w:val="32"/>
          <w:szCs w:val="32"/>
        </w:rPr>
        <w:t>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运行经费支出预算</w:t>
      </w:r>
      <w:r>
        <w:rPr>
          <w:rFonts w:hint="eastAsia" w:ascii="Times New Roman" w:hAnsi="Times New Roman" w:eastAsia="仿宋_GB2312" w:cs="Times New Roman"/>
          <w:color w:val="auto"/>
          <w:sz w:val="32"/>
          <w:szCs w:val="32"/>
          <w:lang w:val="en-US" w:eastAsia="zh-CN"/>
        </w:rPr>
        <w:t>137.79</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相比</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132.50万元，主要原因为公用经费增加。</w:t>
      </w:r>
      <w:r>
        <w:rPr>
          <w:rFonts w:hint="default" w:ascii="Times New Roman" w:hAnsi="Times New Roman" w:eastAsia="仿宋_GB2312" w:cs="Times New Roman"/>
          <w:color w:val="auto"/>
          <w:sz w:val="32"/>
          <w:szCs w:val="32"/>
        </w:rPr>
        <w:t>主要保障机构正常运转及正常履职需要</w:t>
      </w:r>
      <w:r>
        <w:rPr>
          <w:rFonts w:hint="default" w:ascii="Times New Roman" w:hAnsi="Times New Roman" w:eastAsia="仿宋_GB2312" w:cs="Times New Roman"/>
          <w:color w:val="auto"/>
          <w:sz w:val="32"/>
          <w:szCs w:val="32"/>
          <w:lang w:eastAsia="zh-CN"/>
        </w:rPr>
        <w:t>所需支出，包含公用经费、公务交通补贴、工会经费、职工福利费等</w:t>
      </w:r>
      <w:r>
        <w:rPr>
          <w:rFonts w:hint="default" w:ascii="Times New Roman" w:hAnsi="Times New Roman" w:eastAsia="仿宋_GB2312" w:cs="Times New Roman"/>
          <w:color w:val="auto"/>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（二）政府采购支出</w:t>
      </w:r>
      <w:r>
        <w:rPr>
          <w:rFonts w:hint="default" w:ascii="Times New Roman" w:hAnsi="Times New Roman" w:eastAsia="仿宋_GB2312" w:cs="Times New Roman"/>
          <w:b/>
          <w:color w:val="auto"/>
          <w:kern w:val="0"/>
          <w:sz w:val="32"/>
          <w:szCs w:val="32"/>
          <w:lang w:eastAsia="zh-CN"/>
        </w:rPr>
        <w:t>预算</w:t>
      </w:r>
      <w:r>
        <w:rPr>
          <w:rFonts w:hint="default" w:ascii="Times New Roman" w:hAnsi="Times New Roman" w:eastAsia="仿宋_GB2312" w:cs="Times New Roman"/>
          <w:b/>
          <w:color w:val="auto"/>
          <w:kern w:val="0"/>
          <w:sz w:val="32"/>
          <w:szCs w:val="32"/>
        </w:rPr>
        <w:t>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楷体_GB2312" w:cs="Times New Roman"/>
          <w:b/>
          <w:color w:val="auto"/>
          <w:kern w:val="0"/>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局2022</w:t>
      </w:r>
      <w:r>
        <w:rPr>
          <w:rFonts w:hint="default" w:ascii="Times New Roman" w:hAnsi="Times New Roman" w:eastAsia="仿宋_GB2312" w:cs="Times New Roman"/>
          <w:color w:val="auto"/>
          <w:sz w:val="32"/>
          <w:szCs w:val="32"/>
        </w:rPr>
        <w:t>年政府采购预算安排</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，其中：政府采购货物预算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、政府采购工程预算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、政府采购服务预算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（三）绩效目标设置情况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800" w:firstLineChars="25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u w:val="none"/>
          <w:lang w:eastAsia="zh-CN"/>
        </w:rPr>
        <w:t>2022</w:t>
      </w:r>
      <w:r>
        <w:rPr>
          <w:rFonts w:hint="default" w:ascii="Times New Roman" w:hAnsi="Times New Roman" w:eastAsia="仿宋_GB2312" w:cs="Times New Roman"/>
          <w:color w:val="auto"/>
          <w:sz w:val="32"/>
          <w:szCs w:val="32"/>
          <w:u w:val="none"/>
        </w:rPr>
        <w:t>年预算项</w:t>
      </w:r>
      <w:r>
        <w:rPr>
          <w:rFonts w:hint="default" w:ascii="Times New Roman" w:hAnsi="Times New Roman" w:eastAsia="仿宋_GB2312" w:cs="Times New Roman"/>
          <w:color w:val="auto"/>
          <w:sz w:val="32"/>
          <w:szCs w:val="32"/>
        </w:rPr>
        <w:t>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（四）国有资产占用情况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年期末，</w:t>
      </w: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辆，其中：一般公务用车</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辆、一般执法执勤用车</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单位价值</w:t>
      </w:r>
      <w:r>
        <w:rPr>
          <w:rFonts w:hint="default" w:ascii="Times New Roman" w:hAnsi="Times New Roman" w:eastAsia="仿宋_GB2312" w:cs="Times New Roman"/>
          <w:color w:val="auto"/>
          <w:sz w:val="32"/>
          <w:szCs w:val="32"/>
        </w:rPr>
        <w:t>50万元以上通用设备</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套，</w:t>
      </w:r>
      <w:r>
        <w:rPr>
          <w:rFonts w:hint="default" w:ascii="Times New Roman" w:hAnsi="Times New Roman" w:eastAsia="仿宋_GB2312" w:cs="Times New Roman"/>
          <w:color w:val="auto"/>
          <w:sz w:val="32"/>
          <w:szCs w:val="32"/>
          <w:lang w:eastAsia="zh-CN"/>
        </w:rPr>
        <w:t>单位价值</w:t>
      </w:r>
      <w:r>
        <w:rPr>
          <w:rFonts w:hint="default" w:ascii="Times New Roman" w:hAnsi="Times New Roman" w:eastAsia="仿宋_GB2312" w:cs="Times New Roman"/>
          <w:color w:val="auto"/>
          <w:sz w:val="32"/>
          <w:szCs w:val="32"/>
        </w:rPr>
        <w:t>100万元以上专用设备</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套。</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（五）专项转移支付项目情况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lang w:eastAsia="zh-CN"/>
        </w:rPr>
        <w:t>伊川县乡村振兴</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lang w:val="en-US" w:eastAsia="zh-CN"/>
        </w:rPr>
        <w:t>2022年无</w:t>
      </w:r>
      <w:r>
        <w:rPr>
          <w:rFonts w:hint="default" w:ascii="Times New Roman" w:hAnsi="Times New Roman" w:eastAsia="仿宋_GB2312" w:cs="Times New Roman"/>
          <w:color w:val="auto"/>
          <w:sz w:val="32"/>
          <w:szCs w:val="32"/>
          <w:highlight w:val="none"/>
        </w:rPr>
        <w:t>负责管理的专项转移支付项目</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44"/>
          <w:szCs w:val="44"/>
        </w:rPr>
      </w:pPr>
    </w:p>
    <w:p>
      <w:pPr>
        <w:keepNext w:val="0"/>
        <w:keepLines w:val="0"/>
        <w:pageBreakBefore w:val="0"/>
        <w:widowControl w:val="0"/>
        <w:wordWrap/>
        <w:overflowPunct w:val="0"/>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第三部分</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名词解释</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一、财政拨款收入：是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级财政</w:t>
      </w:r>
      <w:r>
        <w:rPr>
          <w:rFonts w:hint="default" w:ascii="Times New Roman" w:hAnsi="Times New Roman" w:eastAsia="仿宋_GB2312" w:cs="Times New Roman"/>
          <w:color w:val="auto"/>
          <w:sz w:val="32"/>
          <w:szCs w:val="32"/>
        </w:rPr>
        <w:t>拨付的资金</w:t>
      </w:r>
      <w:r>
        <w:rPr>
          <w:rFonts w:hint="default" w:ascii="Times New Roman" w:hAnsi="Times New Roman" w:eastAsia="仿宋_GB2312" w:cs="Times New Roman"/>
          <w:color w:val="auto"/>
          <w:sz w:val="32"/>
          <w:szCs w:val="32"/>
          <w:lang w:eastAsia="zh-CN"/>
        </w:rPr>
        <w:t>：包括一般公共预算拨款、政府性基金预算拨款、国有资本经营预算拨款。</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二、事业收入：是指事业单位开展专业活动及辅助活动所取得的收入。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三、其他收入：是指部门取得的除“财政</w:t>
      </w:r>
      <w:r>
        <w:rPr>
          <w:rFonts w:hint="default" w:ascii="Times New Roman" w:hAnsi="Times New Roman" w:eastAsia="仿宋_GB2312" w:cs="Times New Roman"/>
          <w:color w:val="auto"/>
          <w:sz w:val="32"/>
          <w:szCs w:val="32"/>
          <w:highlight w:val="none"/>
        </w:rPr>
        <w:t>拨款”、“事业收入”、“事业单位经营收入”等以外的收入。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五、基本支出：是指为保障机构正常运转、完成日常工作任务所必需的开支，其内容包括人员经费和日常公用经费两部分。</w:t>
      </w:r>
    </w:p>
    <w:p>
      <w:pPr>
        <w:keepNext w:val="0"/>
        <w:keepLines w:val="0"/>
        <w:pageBreakBefore w:val="0"/>
        <w:widowControl w:val="0"/>
        <w:wordWrap/>
        <w:overflowPunct w:val="0"/>
        <w:topLinePunct w:val="0"/>
        <w:bidi w:val="0"/>
        <w:spacing w:beforeLines="0" w:afterLines="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六、项目支出：是指在基本支出之外，为完成特定的行政工作任务或事业发展目标所发生的支出。</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七、“三公”经费：是指纳</w:t>
      </w:r>
      <w:r>
        <w:rPr>
          <w:rFonts w:hint="default" w:ascii="Times New Roman" w:hAnsi="Times New Roman" w:eastAsia="仿宋_GB2312" w:cs="Times New Roman"/>
          <w:color w:val="auto"/>
          <w:sz w:val="32"/>
          <w:szCs w:val="32"/>
          <w:highlight w:val="none"/>
        </w:rPr>
        <w:t>入</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w:t>
      </w:r>
      <w:r>
        <w:rPr>
          <w:rFonts w:hint="default" w:ascii="Times New Roman" w:hAnsi="Times New Roman" w:eastAsia="仿宋_GB2312" w:cs="Times New Roman"/>
          <w:color w:val="auto"/>
          <w:sz w:val="32"/>
          <w:szCs w:val="32"/>
        </w:rPr>
        <w:t>政预算管理，部门使用财政拨款安排的因公出国（境）费、公务用车购置及运行费和公务接待费。其中，因公出国（境）费反映单位公务出国（境）的住宿费、</w:t>
      </w:r>
      <w:r>
        <w:rPr>
          <w:rFonts w:hint="default" w:ascii="Times New Roman" w:hAnsi="Times New Roman" w:eastAsia="仿宋_GB2312" w:cs="Times New Roman"/>
          <w:color w:val="auto"/>
          <w:sz w:val="32"/>
          <w:szCs w:val="32"/>
          <w:lang w:eastAsia="zh-CN"/>
        </w:rPr>
        <w:t>差</w:t>
      </w:r>
      <w:r>
        <w:rPr>
          <w:rFonts w:hint="default" w:ascii="Times New Roman" w:hAnsi="Times New Roman" w:eastAsia="仿宋_GB2312" w:cs="Times New Roman"/>
          <w:color w:val="auto"/>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eastAsia="zh-CN"/>
        </w:rPr>
        <w:t>行政（事业）单位机构</w:t>
      </w:r>
      <w:r>
        <w:rPr>
          <w:rFonts w:hint="default" w:ascii="Times New Roman" w:hAnsi="Times New Roman" w:eastAsia="仿宋_GB2312" w:cs="Times New Roman"/>
          <w:color w:val="auto"/>
          <w:sz w:val="32"/>
          <w:szCs w:val="32"/>
        </w:rPr>
        <w:t>运行经费：是指为保障行政单位（</w:t>
      </w:r>
      <w:r>
        <w:rPr>
          <w:rFonts w:hint="default" w:ascii="Times New Roman" w:hAnsi="Times New Roman" w:eastAsia="仿宋_GB2312" w:cs="Times New Roman"/>
          <w:color w:val="auto"/>
          <w:sz w:val="32"/>
          <w:szCs w:val="32"/>
          <w:lang w:eastAsia="zh-CN"/>
        </w:rPr>
        <w:t>包括行政单位和</w:t>
      </w:r>
      <w:r>
        <w:rPr>
          <w:rFonts w:hint="default" w:ascii="Times New Roman" w:hAnsi="Times New Roman" w:eastAsia="仿宋_GB2312" w:cs="Times New Roman"/>
          <w:color w:val="auto"/>
          <w:sz w:val="32"/>
          <w:szCs w:val="32"/>
        </w:rPr>
        <w:t>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wordWrap/>
        <w:overflowPunct w:val="0"/>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wordWrap/>
        <w:overflowPunct w:val="0"/>
        <w:topLinePunct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附件：</w:t>
      </w:r>
      <w:r>
        <w:rPr>
          <w:rFonts w:hint="default" w:ascii="Times New Roman" w:hAnsi="Times New Roman" w:eastAsia="仿宋_GB2312" w:cs="Times New Roman"/>
          <w:b/>
          <w:bCs/>
          <w:color w:val="auto"/>
          <w:sz w:val="32"/>
          <w:szCs w:val="32"/>
          <w:lang w:eastAsia="zh-CN"/>
        </w:rPr>
        <w:t>2022</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eastAsia="zh-CN"/>
        </w:rPr>
        <w:t>伊川县乡村振兴</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部门预算表</w:t>
      </w:r>
    </w:p>
    <w:p>
      <w:pPr>
        <w:sectPr>
          <w:footerReference r:id="rId3" w:type="default"/>
          <w:pgSz w:w="11906" w:h="16838"/>
          <w:pgMar w:top="1984" w:right="1531" w:bottom="1417" w:left="1531" w:header="851" w:footer="992" w:gutter="0"/>
          <w:pgNumType w:fmt="numberInDash"/>
          <w:cols w:space="425" w:num="1"/>
          <w:docGrid w:type="lines" w:linePitch="312" w:charSpace="0"/>
        </w:sectPr>
      </w:pPr>
    </w:p>
    <w:tbl>
      <w:tblPr>
        <w:tblStyle w:val="4"/>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1"/>
        <w:gridCol w:w="1499"/>
        <w:gridCol w:w="2981"/>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960" w:type="dxa"/>
            <w:gridSpan w:val="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96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2022年部门收支预算表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981"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4480"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499"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  </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金额  </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项目  </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收 入 合 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支 出 合 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年终结转结余</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 总 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 总 计</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r>
    </w:tbl>
    <w:p>
      <w:pPr>
        <w:sectPr>
          <w:pgSz w:w="11906" w:h="16838"/>
          <w:pgMar w:top="1440" w:right="1800" w:bottom="1440" w:left="1800" w:header="851" w:footer="992" w:gutter="0"/>
          <w:pgNumType w:fmt="numberInDash"/>
          <w:cols w:space="425" w:num="1"/>
          <w:docGrid w:type="lines" w:linePitch="312" w:charSpace="0"/>
        </w:sectPr>
      </w:pPr>
    </w:p>
    <w:tbl>
      <w:tblPr>
        <w:tblStyle w:val="4"/>
        <w:tblpPr w:leftFromText="180" w:rightFromText="180" w:vertAnchor="text" w:horzAnchor="page" w:tblpX="737" w:tblpY="98"/>
        <w:tblOverlap w:val="never"/>
        <w:tblW w:w="15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
        <w:gridCol w:w="1649"/>
        <w:gridCol w:w="846"/>
        <w:gridCol w:w="846"/>
        <w:gridCol w:w="885"/>
        <w:gridCol w:w="885"/>
        <w:gridCol w:w="532"/>
        <w:gridCol w:w="659"/>
        <w:gridCol w:w="659"/>
        <w:gridCol w:w="462"/>
        <w:gridCol w:w="659"/>
        <w:gridCol w:w="659"/>
        <w:gridCol w:w="659"/>
        <w:gridCol w:w="510"/>
        <w:gridCol w:w="868"/>
        <w:gridCol w:w="1008"/>
        <w:gridCol w:w="589"/>
        <w:gridCol w:w="589"/>
        <w:gridCol w:w="593"/>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80" w:type="dxa"/>
            <w:gridSpan w:val="20"/>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680" w:type="dxa"/>
            <w:gridSpan w:val="20"/>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2022年部门收入预算表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3557" w:type="dxa"/>
            <w:gridSpan w:val="18"/>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046"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部门（单位）代码</w:t>
            </w:r>
          </w:p>
        </w:tc>
        <w:tc>
          <w:tcPr>
            <w:tcW w:w="16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741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本年收入</w:t>
            </w:r>
          </w:p>
        </w:tc>
        <w:tc>
          <w:tcPr>
            <w:tcW w:w="469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其他收入  </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5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407001</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伊川县乡村振兴局</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
        <w:gridCol w:w="494"/>
        <w:gridCol w:w="494"/>
        <w:gridCol w:w="1060"/>
        <w:gridCol w:w="2221"/>
        <w:gridCol w:w="1286"/>
        <w:gridCol w:w="1375"/>
        <w:gridCol w:w="1270"/>
        <w:gridCol w:w="1239"/>
        <w:gridCol w:w="1166"/>
        <w:gridCol w:w="836"/>
        <w:gridCol w:w="846"/>
        <w:gridCol w:w="780"/>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70"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67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2022年部门支出预算表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2075"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1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1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26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235.79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235.79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行政单位离退休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其他行政事业单位医疗支出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209.58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其他巩固脱贫衔接乡村振兴支出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6523.01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4"/>
        <w:gridCol w:w="1075"/>
        <w:gridCol w:w="3145"/>
        <w:gridCol w:w="875"/>
        <w:gridCol w:w="1738"/>
        <w:gridCol w:w="1274"/>
        <w:gridCol w:w="907"/>
        <w:gridCol w:w="2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4100" w:type="dxa"/>
            <w:gridSpan w:val="8"/>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10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294"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014"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2792"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33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  </w:t>
            </w:r>
          </w:p>
        </w:tc>
        <w:tc>
          <w:tcPr>
            <w:tcW w:w="107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　额</w:t>
            </w:r>
          </w:p>
        </w:tc>
        <w:tc>
          <w:tcPr>
            <w:tcW w:w="31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 目  </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0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一般公共预算  </w:t>
            </w:r>
          </w:p>
        </w:tc>
        <w:tc>
          <w:tcPr>
            <w:tcW w:w="9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政府性基金  </w:t>
            </w:r>
          </w:p>
        </w:tc>
        <w:tc>
          <w:tcPr>
            <w:tcW w:w="27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小计  </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9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一、本年收入</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一、本年支出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其中：财政拨款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二、上年结转</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（七）文化体育旅游与传媒支出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29.11</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29.11</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29.11</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（九）医疗卫生与计划生育支出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14.16</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14.16</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6582.04</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6582.04</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6582.04</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二、年终结转结余</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2"/>
        <w:gridCol w:w="554"/>
        <w:gridCol w:w="668"/>
        <w:gridCol w:w="1293"/>
        <w:gridCol w:w="2330"/>
        <w:gridCol w:w="1293"/>
        <w:gridCol w:w="952"/>
        <w:gridCol w:w="1108"/>
        <w:gridCol w:w="838"/>
        <w:gridCol w:w="810"/>
        <w:gridCol w:w="825"/>
        <w:gridCol w:w="1108"/>
        <w:gridCol w:w="1109"/>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80"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58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4"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部门名称：</w:t>
            </w:r>
          </w:p>
        </w:tc>
        <w:tc>
          <w:tcPr>
            <w:tcW w:w="11666"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1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2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3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32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9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1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235.79</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235.79</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行政单位离退休</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其他行政事业单位医疗支出</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209.58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209.58</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194.80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其他巩固脱贫衔接乡村振兴支出</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6523.01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2460"/>
        <w:gridCol w:w="1845"/>
        <w:gridCol w:w="2460"/>
        <w:gridCol w:w="184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5" w:type="dxa"/>
            <w:gridSpan w:val="7"/>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45"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0455"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845"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部门预算支出经济分类科目</w:t>
            </w:r>
          </w:p>
        </w:tc>
        <w:tc>
          <w:tcPr>
            <w:tcW w:w="43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政府预算支出经济分类科目</w:t>
            </w:r>
          </w:p>
        </w:tc>
        <w:tc>
          <w:tcPr>
            <w:tcW w:w="55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238.07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退休费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50905</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其他对个人和家庭的补助</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其他对个人和家庭补助</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机关事业单位基本养老保险缴费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其他社会保障缴费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其他工资福利支出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绩效工资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津贴补贴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基本工资</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住房公积金</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50103</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工会经费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福利费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办公费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50201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其他商品和服务支出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50299</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pPr w:leftFromText="180" w:rightFromText="180" w:vertAnchor="text" w:horzAnchor="page" w:tblpX="1157" w:tblpY="572"/>
        <w:tblOverlap w:val="never"/>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593"/>
        <w:gridCol w:w="1742"/>
        <w:gridCol w:w="508"/>
        <w:gridCol w:w="439"/>
        <w:gridCol w:w="1559"/>
        <w:gridCol w:w="987"/>
        <w:gridCol w:w="972"/>
        <w:gridCol w:w="872"/>
        <w:gridCol w:w="790"/>
        <w:gridCol w:w="719"/>
        <w:gridCol w:w="1378"/>
        <w:gridCol w:w="583"/>
        <w:gridCol w:w="420"/>
        <w:gridCol w:w="480"/>
        <w:gridCol w:w="633"/>
        <w:gridCol w:w="702"/>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40" w:type="dxa"/>
            <w:gridSpan w:val="18"/>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bookmarkStart w:id="0" w:name="_GoBack"/>
            <w:bookmarkEnd w:id="0"/>
            <w:r>
              <w:rPr>
                <w:rFonts w:ascii="宋体" w:hAnsi="宋体" w:eastAsia="宋体" w:cs="宋体"/>
                <w:i w:val="0"/>
                <w:iCs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40" w:type="dxa"/>
            <w:gridSpan w:val="18"/>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部门名称：伊川县乡村振兴局  </w:t>
            </w:r>
          </w:p>
        </w:tc>
        <w:tc>
          <w:tcPr>
            <w:tcW w:w="11042" w:type="dxa"/>
            <w:gridSpan w:val="14"/>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c>
          <w:tcPr>
            <w:tcW w:w="1098"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部门预算经济分类  </w:t>
            </w:r>
          </w:p>
        </w:tc>
        <w:tc>
          <w:tcPr>
            <w:tcW w:w="25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政府预算经济分类</w:t>
            </w: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18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3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6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10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类</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6625.31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150.55</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离退休费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509</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其他对个人和家庭补助</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26.83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社会保障缴费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0.89</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37.24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27.54</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17.74</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17.74</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41.36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工资奖金津补贴</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95.03</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501</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148.21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123.01</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办公经费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503</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0"/>
        <w:gridCol w:w="2340"/>
        <w:gridCol w:w="2340"/>
        <w:gridCol w:w="2340"/>
        <w:gridCol w:w="234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40" w:type="dxa"/>
            <w:gridSpan w:val="6"/>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0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360"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234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1404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
        <w:gridCol w:w="569"/>
        <w:gridCol w:w="608"/>
        <w:gridCol w:w="1089"/>
        <w:gridCol w:w="1727"/>
        <w:gridCol w:w="1173"/>
        <w:gridCol w:w="1458"/>
        <w:gridCol w:w="1396"/>
        <w:gridCol w:w="1189"/>
        <w:gridCol w:w="1019"/>
        <w:gridCol w:w="1020"/>
        <w:gridCol w:w="820"/>
        <w:gridCol w:w="102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640"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64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35"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913"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092"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17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29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0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67"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备注：县乡村振兴局2022年无政府性基金预算拨款安排的支出，故此表无数据。</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
        <w:gridCol w:w="578"/>
        <w:gridCol w:w="620"/>
        <w:gridCol w:w="1087"/>
        <w:gridCol w:w="1638"/>
        <w:gridCol w:w="1294"/>
        <w:gridCol w:w="1060"/>
        <w:gridCol w:w="1349"/>
        <w:gridCol w:w="1074"/>
        <w:gridCol w:w="1073"/>
        <w:gridCol w:w="1074"/>
        <w:gridCol w:w="1073"/>
        <w:gridCol w:w="1076"/>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80" w:type="dxa"/>
            <w:gridSpan w:val="1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580"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2022年国有资本经营支出预算表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2"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798"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3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1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63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2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4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1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0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0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27"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27"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备注：县乡村振兴局2022年无国有资本经营预算拨款安排的支出，故此表无数据。</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0"/>
        <w:gridCol w:w="1170"/>
        <w:gridCol w:w="1170"/>
        <w:gridCol w:w="1170"/>
        <w:gridCol w:w="1170"/>
        <w:gridCol w:w="1170"/>
        <w:gridCol w:w="1170"/>
        <w:gridCol w:w="1170"/>
        <w:gridCol w:w="1170"/>
        <w:gridCol w:w="1170"/>
        <w:gridCol w:w="117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00" w:type="dxa"/>
            <w:gridSpan w:val="12"/>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00" w:type="dxa"/>
            <w:gridSpan w:val="12"/>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0"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11700"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23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类型</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本年拨款</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财政拨款结转结余</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扶贫工作经费</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衔接资金项目</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0"/>
        <w:gridCol w:w="1455"/>
        <w:gridCol w:w="2205"/>
        <w:gridCol w:w="1170"/>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45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20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4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2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本级部门(单位)整体绩效目标表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2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 xml:space="preserve">（2022年度）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0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精准使用财政资金，厉行节约，及时收支，严格财经纪律，严格执行财务开支制度，科学执行年度预处算，正确反映单位经费及项目经费运转情况。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完成单位职工工资的收支发放，完成单位重点工作的运转开支及全县“雨露计划”、职业教育和短期技能培训工作</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人员经费175.86万元，工作经费200万元，项目资金6400万元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4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205" w:type="dxa"/>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保质保量完成乡村振兴项目规划、实施、考核、贫困村检测各项工作</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单位重点工作：防返贫监测，项目规划及社会扶贫等工作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及时发放工资，合理开支，做好决算报表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人员工资及时收支按月发放，公务开支厉行节约，合理开支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目标与实际科学匹配，努力完成年度目标任务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把有限的经费用在刀刃好，发挥最大效益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单位满意，职工满意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sectPr>
          <w:pgSz w:w="11906" w:h="16838"/>
          <w:pgMar w:top="1440" w:right="1800" w:bottom="1440" w:left="1800" w:header="851" w:footer="992" w:gutter="0"/>
          <w:pgNumType w:fmt="numberInDash"/>
          <w:cols w:space="425" w:num="1"/>
          <w:docGrid w:type="lines" w:linePitch="312" w:charSpace="0"/>
        </w:sectPr>
      </w:pPr>
    </w:p>
    <w:tbl>
      <w:tblPr>
        <w:tblStyle w:val="4"/>
        <w:tblpPr w:leftFromText="180" w:rightFromText="180" w:vertAnchor="text" w:horzAnchor="page" w:tblpX="527" w:tblpY="-34"/>
        <w:tblOverlap w:val="never"/>
        <w:tblW w:w="15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1"/>
        <w:gridCol w:w="1291"/>
        <w:gridCol w:w="966"/>
        <w:gridCol w:w="1083"/>
        <w:gridCol w:w="1010"/>
        <w:gridCol w:w="585"/>
        <w:gridCol w:w="1046"/>
        <w:gridCol w:w="909"/>
        <w:gridCol w:w="2048"/>
        <w:gridCol w:w="725"/>
        <w:gridCol w:w="1222"/>
        <w:gridCol w:w="795"/>
        <w:gridCol w:w="1080"/>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9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8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1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4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0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048"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2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2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c>
          <w:tcPr>
            <w:tcW w:w="1001" w:type="dxa"/>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852" w:type="dxa"/>
            <w:gridSpan w:val="1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2022年部门预算项目绩效目标表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单位编码（项目编码）</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项目单位 （项目名称）</w:t>
            </w:r>
          </w:p>
        </w:tc>
        <w:tc>
          <w:tcPr>
            <w:tcW w:w="3644"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项目金额（万元）</w:t>
            </w:r>
          </w:p>
        </w:tc>
        <w:tc>
          <w:tcPr>
            <w:tcW w:w="882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64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成本指标  </w:t>
            </w:r>
          </w:p>
        </w:tc>
        <w:tc>
          <w:tcPr>
            <w:tcW w:w="27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20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政府预算资金</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407001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伊川县乡村振兴局</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6400.00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410329220000000018100</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扶贫工作经费</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10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完成边缘户及脱贫监测户的监测帮扶工作，服务党政决策，服务社会需求</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围绕扶贫工作规划，圆满完成扶贫工作目标计划</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工作经费保证单位日常运转，完成上级交办的其它事项。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410329220000000082524</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衔接资金项目</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10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万元/项</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≥50万元</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≥3万人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合格率（%）</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EEF7E"/>
    <w:multiLevelType w:val="singleLevel"/>
    <w:tmpl w:val="042EEF7E"/>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2FlNGVhNGYyMmZmZmRhNGVkNDQ1YWQxMGFkZTAifQ=="/>
  </w:docVars>
  <w:rsids>
    <w:rsidRoot w:val="3A772D06"/>
    <w:rsid w:val="043B4C5B"/>
    <w:rsid w:val="058D6A20"/>
    <w:rsid w:val="08F126B5"/>
    <w:rsid w:val="092C339B"/>
    <w:rsid w:val="09F45FD8"/>
    <w:rsid w:val="12C354B7"/>
    <w:rsid w:val="13251FB8"/>
    <w:rsid w:val="29900A11"/>
    <w:rsid w:val="2C7F568A"/>
    <w:rsid w:val="32867882"/>
    <w:rsid w:val="34F477B1"/>
    <w:rsid w:val="3A772D06"/>
    <w:rsid w:val="3E3D025B"/>
    <w:rsid w:val="45CC15DB"/>
    <w:rsid w:val="4BA8774A"/>
    <w:rsid w:val="54931A78"/>
    <w:rsid w:val="5713681C"/>
    <w:rsid w:val="5AA54B35"/>
    <w:rsid w:val="61E17B0E"/>
    <w:rsid w:val="63444622"/>
    <w:rsid w:val="64276D13"/>
    <w:rsid w:val="69DB6EE6"/>
    <w:rsid w:val="6E2272F7"/>
    <w:rsid w:val="6F200D79"/>
    <w:rsid w:val="732E2368"/>
    <w:rsid w:val="7AB756AF"/>
    <w:rsid w:val="7CC41A5B"/>
    <w:rsid w:val="7F7F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9074</Words>
  <Characters>11095</Characters>
  <Lines>0</Lines>
  <Paragraphs>0</Paragraphs>
  <TotalTime>2</TotalTime>
  <ScaleCrop>false</ScaleCrop>
  <LinksUpToDate>false</LinksUpToDate>
  <CharactersWithSpaces>11248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2023-05-25T03:15:00Z</dcterms:created>
  <dc:creator>Administrator</dc:creator>
  <cp:lastModifiedBy>Administrator</cp:lastModifiedBy>
  <dcterms:modified xsi:type="dcterms:W3CDTF">2023-07-12T09:11:44Z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46104447D6234C11B6FD302B2CBD8D85_11</vt:lpwstr>
  </property>
</Properties>
</file>