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黑体" w:hAnsi="黑体" w:eastAsia="黑体"/>
          <w:sz w:val="52"/>
          <w:szCs w:val="52"/>
        </w:rPr>
      </w:pPr>
      <w:r>
        <w:rPr>
          <w:rFonts w:ascii="黑体" w:hAnsi="黑体" w:eastAsia="黑体"/>
          <w:sz w:val="44"/>
          <w:szCs w:val="44"/>
        </w:rPr>
        <w:t>2022年</w:t>
      </w:r>
      <w:r>
        <w:rPr>
          <w:rFonts w:hint="eastAsia" w:ascii="黑体" w:hAnsi="黑体" w:eastAsia="黑体"/>
          <w:sz w:val="44"/>
          <w:szCs w:val="44"/>
        </w:rPr>
        <w:t>伊川县档案馆部门</w:t>
      </w:r>
      <w:r>
        <w:rPr>
          <w:rFonts w:ascii="黑体" w:hAnsi="黑体" w:eastAsia="黑体"/>
          <w:sz w:val="44"/>
          <w:szCs w:val="44"/>
        </w:rPr>
        <w:t>预算说</w:t>
      </w:r>
      <w:r>
        <w:rPr>
          <w:rFonts w:hint="eastAsia" w:ascii="黑体" w:hAnsi="黑体" w:eastAsia="黑体"/>
          <w:sz w:val="44"/>
          <w:szCs w:val="44"/>
        </w:rPr>
        <w:t>明</w:t>
      </w:r>
    </w:p>
    <w:p>
      <w:pPr>
        <w:overflowPunct w:val="0"/>
        <w:adjustRightInd w:val="0"/>
        <w:snapToGrid w:val="0"/>
        <w:spacing w:line="600" w:lineRule="exact"/>
        <w:jc w:val="center"/>
        <w:rPr>
          <w:rFonts w:ascii="Times New Roman" w:hAnsi="Times New Roman"/>
          <w:b/>
          <w:bCs/>
          <w:sz w:val="36"/>
          <w:szCs w:val="36"/>
        </w:rPr>
      </w:pPr>
    </w:p>
    <w:p>
      <w:pPr>
        <w:overflowPunct w:val="0"/>
        <w:adjustRightInd w:val="0"/>
        <w:snapToGrid w:val="0"/>
        <w:spacing w:line="600" w:lineRule="exact"/>
        <w:jc w:val="center"/>
        <w:rPr>
          <w:rFonts w:ascii="Times New Roman" w:hAnsi="Times New Roman" w:eastAsia="黑体"/>
          <w:sz w:val="36"/>
          <w:szCs w:val="36"/>
        </w:rPr>
      </w:pPr>
      <w:r>
        <w:rPr>
          <w:rFonts w:ascii="Times New Roman" w:hAnsi="Times New Roman" w:eastAsia="黑体"/>
          <w:sz w:val="36"/>
          <w:szCs w:val="36"/>
        </w:rPr>
        <w:t>目 录</w:t>
      </w:r>
    </w:p>
    <w:p>
      <w:pPr>
        <w:kinsoku w:val="0"/>
        <w:overflowPunct w:val="0"/>
        <w:adjustRightInd w:val="0"/>
        <w:snapToGrid w:val="0"/>
        <w:spacing w:line="600" w:lineRule="exact"/>
        <w:ind w:right="3569" w:firstLine="640" w:firstLineChars="200"/>
        <w:rPr>
          <w:rFonts w:ascii="Times New Roman" w:hAnsi="Times New Roman" w:eastAsia="黑体"/>
          <w:w w:val="99"/>
          <w:sz w:val="32"/>
          <w:szCs w:val="32"/>
        </w:rPr>
      </w:pPr>
      <w:r>
        <w:rPr>
          <w:rFonts w:ascii="Times New Roman" w:hAnsi="Times New Roman" w:eastAsia="黑体"/>
          <w:sz w:val="32"/>
          <w:szCs w:val="32"/>
        </w:rPr>
        <w:t xml:space="preserve">第一部分 </w:t>
      </w:r>
      <w:r>
        <w:rPr>
          <w:rFonts w:hint="eastAsia" w:ascii="Times New Roman" w:hAnsi="Times New Roman" w:eastAsia="黑体"/>
          <w:sz w:val="32"/>
          <w:szCs w:val="32"/>
        </w:rPr>
        <w:t>伊川县档案馆</w:t>
      </w:r>
      <w:r>
        <w:rPr>
          <w:rFonts w:ascii="Times New Roman" w:hAnsi="Times New Roman" w:eastAsia="黑体"/>
          <w:sz w:val="32"/>
          <w:szCs w:val="32"/>
        </w:rPr>
        <w:t>概况</w:t>
      </w:r>
    </w:p>
    <w:p>
      <w:pPr>
        <w:kinsoku w:val="0"/>
        <w:overflowPunct w:val="0"/>
        <w:adjustRightInd w:val="0"/>
        <w:snapToGrid w:val="0"/>
        <w:spacing w:line="600" w:lineRule="exact"/>
        <w:ind w:right="24" w:firstLine="960" w:firstLineChars="300"/>
        <w:jc w:val="left"/>
        <w:rPr>
          <w:rFonts w:ascii="Times New Roman" w:hAnsi="Times New Roman" w:eastAsia="仿宋_GB2312"/>
          <w:sz w:val="32"/>
          <w:szCs w:val="32"/>
        </w:rPr>
      </w:pPr>
      <w:r>
        <w:rPr>
          <w:rFonts w:ascii="Times New Roman" w:hAnsi="Times New Roman" w:eastAsia="仿宋_GB2312"/>
          <w:sz w:val="32"/>
          <w:szCs w:val="32"/>
        </w:rPr>
        <w:t>一、主要职责</w:t>
      </w:r>
    </w:p>
    <w:p>
      <w:pPr>
        <w:kinsoku w:val="0"/>
        <w:overflowPunct w:val="0"/>
        <w:adjustRightInd w:val="0"/>
        <w:snapToGrid w:val="0"/>
        <w:spacing w:line="600" w:lineRule="exact"/>
        <w:ind w:right="112" w:firstLine="960" w:firstLineChars="300"/>
        <w:jc w:val="left"/>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部门</w:t>
      </w:r>
      <w:r>
        <w:rPr>
          <w:rFonts w:ascii="Times New Roman" w:hAnsi="Times New Roman" w:eastAsia="仿宋_GB2312"/>
          <w:sz w:val="32"/>
          <w:szCs w:val="32"/>
        </w:rPr>
        <w:t>所属预算单位构成情况</w:t>
      </w:r>
    </w:p>
    <w:p>
      <w:pPr>
        <w:kinsoku w:val="0"/>
        <w:overflowPunct w:val="0"/>
        <w:adjustRightInd w:val="0"/>
        <w:snapToGrid w:val="0"/>
        <w:spacing w:line="600" w:lineRule="exact"/>
        <w:ind w:right="521" w:firstLine="640" w:firstLineChars="200"/>
        <w:rPr>
          <w:rFonts w:ascii="Times New Roman" w:hAnsi="Times New Roman" w:eastAsia="黑体"/>
          <w:w w:val="99"/>
          <w:sz w:val="32"/>
          <w:szCs w:val="32"/>
        </w:rPr>
      </w:pPr>
      <w:r>
        <w:rPr>
          <w:rFonts w:ascii="Times New Roman" w:hAnsi="Times New Roman" w:eastAsia="黑体"/>
          <w:sz w:val="32"/>
          <w:szCs w:val="32"/>
        </w:rPr>
        <w:t>第二部分</w:t>
      </w:r>
      <w:r>
        <w:rPr>
          <w:rFonts w:hint="eastAsia" w:ascii="Times New Roman" w:hAnsi="Times New Roman" w:eastAsia="黑体"/>
          <w:sz w:val="32"/>
          <w:szCs w:val="32"/>
        </w:rPr>
        <w:t xml:space="preserve"> 部门预算</w:t>
      </w:r>
      <w:r>
        <w:rPr>
          <w:rFonts w:ascii="Times New Roman" w:hAnsi="Times New Roman" w:eastAsia="黑体"/>
          <w:sz w:val="32"/>
          <w:szCs w:val="32"/>
        </w:rPr>
        <w:t>情况说明</w:t>
      </w:r>
    </w:p>
    <w:p>
      <w:pPr>
        <w:kinsoku w:val="0"/>
        <w:overflowPunct w:val="0"/>
        <w:adjustRightInd w:val="0"/>
        <w:snapToGrid w:val="0"/>
        <w:spacing w:line="600" w:lineRule="exact"/>
        <w:ind w:right="521" w:firstLine="640" w:firstLineChars="200"/>
        <w:rPr>
          <w:rFonts w:ascii="Times New Roman" w:hAnsi="Times New Roman" w:eastAsia="黑体"/>
          <w:sz w:val="32"/>
          <w:szCs w:val="32"/>
        </w:rPr>
      </w:pPr>
      <w:r>
        <w:rPr>
          <w:rFonts w:ascii="Times New Roman" w:hAnsi="Times New Roman" w:eastAsia="黑体"/>
          <w:sz w:val="32"/>
          <w:szCs w:val="32"/>
        </w:rPr>
        <w:t>第三部分</w:t>
      </w:r>
      <w:r>
        <w:rPr>
          <w:rFonts w:ascii="Times New Roman" w:hAnsi="Times New Roman" w:eastAsia="黑体"/>
          <w:spacing w:val="-32"/>
          <w:sz w:val="32"/>
          <w:szCs w:val="32"/>
        </w:rPr>
        <w:t xml:space="preserve"> </w:t>
      </w:r>
      <w:r>
        <w:rPr>
          <w:rFonts w:ascii="Times New Roman" w:hAnsi="Times New Roman" w:eastAsia="黑体"/>
          <w:sz w:val="32"/>
          <w:szCs w:val="32"/>
        </w:rPr>
        <w:t>名词解释</w:t>
      </w:r>
    </w:p>
    <w:p>
      <w:pPr>
        <w:kinsoku w:val="0"/>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附件：2022年</w:t>
      </w:r>
      <w:r>
        <w:rPr>
          <w:rFonts w:hint="eastAsia" w:ascii="Times New Roman" w:hAnsi="Times New Roman" w:eastAsia="黑体"/>
          <w:sz w:val="32"/>
          <w:szCs w:val="32"/>
        </w:rPr>
        <w:t>伊川县档案馆部门预算</w:t>
      </w:r>
      <w:r>
        <w:rPr>
          <w:rFonts w:ascii="Times New Roman" w:hAnsi="Times New Roman" w:eastAsia="黑体"/>
          <w:sz w:val="32"/>
          <w:szCs w:val="32"/>
        </w:rPr>
        <w:t>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部门</w:t>
      </w:r>
      <w:r>
        <w:rPr>
          <w:rFonts w:ascii="Times New Roman" w:hAnsi="Times New Roman" w:eastAsia="仿宋_GB2312"/>
          <w:sz w:val="32"/>
          <w:szCs w:val="32"/>
        </w:rPr>
        <w:t>收支预算表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部门</w:t>
      </w:r>
      <w:r>
        <w:rPr>
          <w:rFonts w:ascii="Times New Roman" w:hAnsi="Times New Roman" w:eastAsia="仿宋_GB2312"/>
          <w:sz w:val="32"/>
          <w:szCs w:val="32"/>
        </w:rPr>
        <w:t>收入预算表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部门</w:t>
      </w:r>
      <w:r>
        <w:rPr>
          <w:rFonts w:ascii="Times New Roman" w:hAnsi="Times New Roman" w:eastAsia="仿宋_GB2312"/>
          <w:sz w:val="32"/>
          <w:szCs w:val="32"/>
        </w:rPr>
        <w:t>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四、财政拨款收支预算表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五、一般公共预算支出预算表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六、一般公共预算基本支出预算表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七、支出经济分类汇总表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八、一般公共预算“三公”经费预算表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九、政府性基金预算支出预算表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十、国有资本经营预算支出预算表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十一、项目支出预算表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hint="eastAsia" w:ascii="Times New Roman" w:hAnsi="Times New Roman" w:eastAsia="仿宋_GB2312"/>
          <w:sz w:val="32"/>
          <w:szCs w:val="32"/>
        </w:rPr>
        <w:t>十二、部门（单位）整体绩效目标表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十</w:t>
      </w: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部门</w:t>
      </w:r>
      <w:r>
        <w:rPr>
          <w:rFonts w:ascii="Times New Roman" w:hAnsi="Times New Roman" w:eastAsia="仿宋_GB2312"/>
          <w:sz w:val="32"/>
          <w:szCs w:val="32"/>
        </w:rPr>
        <w:t>预算项目绩效目标表</w:t>
      </w: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44"/>
          <w:szCs w:val="44"/>
        </w:rPr>
      </w:pPr>
      <w:r>
        <w:rPr>
          <w:rFonts w:ascii="Times New Roman" w:hAnsi="Times New Roman" w:eastAsia="黑体"/>
          <w:sz w:val="36"/>
          <w:szCs w:val="36"/>
        </w:rPr>
        <w:t>第一部分</w:t>
      </w:r>
    </w:p>
    <w:p>
      <w:pPr>
        <w:overflowPunct w:val="0"/>
        <w:adjustRightInd w:val="0"/>
        <w:snapToGrid w:val="0"/>
        <w:spacing w:line="600" w:lineRule="exact"/>
        <w:jc w:val="center"/>
        <w:rPr>
          <w:rFonts w:ascii="Times New Roman" w:hAnsi="Times New Roman"/>
          <w:b/>
          <w:bCs/>
          <w:sz w:val="32"/>
          <w:szCs w:val="32"/>
        </w:rPr>
      </w:pPr>
      <w:r>
        <w:rPr>
          <w:rFonts w:hint="eastAsia" w:ascii="Times New Roman" w:hAnsi="Times New Roman"/>
          <w:b/>
          <w:bCs/>
          <w:sz w:val="32"/>
          <w:szCs w:val="32"/>
        </w:rPr>
        <w:t>伊川县档案馆</w:t>
      </w:r>
      <w:r>
        <w:rPr>
          <w:rFonts w:ascii="Times New Roman" w:hAnsi="Times New Roman"/>
          <w:b/>
          <w:bCs/>
          <w:sz w:val="32"/>
          <w:szCs w:val="32"/>
        </w:rPr>
        <w:t>概况</w:t>
      </w:r>
    </w:p>
    <w:p>
      <w:pPr>
        <w:overflowPunct w:val="0"/>
        <w:adjustRightInd w:val="0"/>
        <w:snapToGrid w:val="0"/>
        <w:spacing w:line="600" w:lineRule="exact"/>
        <w:ind w:firstLine="640" w:firstLineChars="200"/>
        <w:jc w:val="center"/>
        <w:rPr>
          <w:rFonts w:ascii="Times New Roman" w:hAnsi="Times New Roman" w:eastAsia="黑体"/>
          <w:sz w:val="32"/>
          <w:szCs w:val="32"/>
        </w:rPr>
      </w:pPr>
    </w:p>
    <w:p>
      <w:pPr>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伊川县档案馆</w:t>
      </w:r>
      <w:r>
        <w:rPr>
          <w:rFonts w:ascii="Times New Roman" w:hAnsi="Times New Roman" w:eastAsia="黑体"/>
          <w:sz w:val="32"/>
          <w:szCs w:val="32"/>
        </w:rPr>
        <w:t>主要职责</w:t>
      </w:r>
    </w:p>
    <w:p>
      <w:pPr>
        <w:overflowPunct w:val="0"/>
        <w:spacing w:line="578" w:lineRule="exact"/>
        <w:ind w:firstLine="680" w:firstLineChars="200"/>
        <w:rPr>
          <w:rFonts w:ascii="Times New Roman" w:hAnsi="Times New Roman" w:eastAsia="仿宋_GB2312"/>
          <w:spacing w:val="10"/>
          <w:sz w:val="32"/>
          <w:szCs w:val="32"/>
        </w:rPr>
      </w:pPr>
      <w:r>
        <w:rPr>
          <w:rFonts w:ascii="Times New Roman" w:hAnsi="Times New Roman" w:eastAsia="仿宋_GB2312"/>
          <w:spacing w:val="10"/>
          <w:sz w:val="32"/>
          <w:szCs w:val="32"/>
        </w:rPr>
        <w:t>伊川县档案馆为县委直属公益一类事业单位，机构规格相当于正科级。</w:t>
      </w:r>
    </w:p>
    <w:p>
      <w:pPr>
        <w:overflowPunct w:val="0"/>
        <w:spacing w:line="578"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spacing w:val="10"/>
          <w:sz w:val="32"/>
          <w:szCs w:val="32"/>
        </w:rPr>
        <w:t>1.</w:t>
      </w:r>
      <w:r>
        <w:rPr>
          <w:rFonts w:ascii="Times New Roman" w:hAnsi="Times New Roman" w:eastAsia="仿宋_GB2312"/>
          <w:spacing w:val="10"/>
          <w:sz w:val="32"/>
          <w:szCs w:val="32"/>
        </w:rPr>
        <w:t>负责接收、征集、整理、保存、管理县级历史档案、革命历史档案和县直机关、乡镇（街道）的现行档案及有关资料。</w:t>
      </w:r>
    </w:p>
    <w:p>
      <w:pPr>
        <w:overflowPunct w:val="0"/>
        <w:spacing w:line="578"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spacing w:val="10"/>
          <w:sz w:val="32"/>
          <w:szCs w:val="32"/>
        </w:rPr>
        <w:t>2.</w:t>
      </w:r>
      <w:r>
        <w:rPr>
          <w:rFonts w:ascii="Times New Roman" w:hAnsi="Times New Roman" w:eastAsia="仿宋_GB2312"/>
          <w:spacing w:val="10"/>
          <w:sz w:val="32"/>
          <w:szCs w:val="32"/>
        </w:rPr>
        <w:t>负责伊川县重大活动档案接收工作；负责征集散存在社会上和境外的档案资料及与伊川有关的史料。</w:t>
      </w:r>
    </w:p>
    <w:p>
      <w:pPr>
        <w:overflowPunct w:val="0"/>
        <w:spacing w:line="578"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spacing w:val="10"/>
          <w:sz w:val="32"/>
          <w:szCs w:val="32"/>
        </w:rPr>
        <w:t>3.</w:t>
      </w:r>
      <w:r>
        <w:rPr>
          <w:rFonts w:ascii="Times New Roman" w:hAnsi="Times New Roman" w:eastAsia="仿宋_GB2312"/>
          <w:spacing w:val="10"/>
          <w:sz w:val="32"/>
          <w:szCs w:val="32"/>
        </w:rPr>
        <w:t>负责馆藏档案资料的鉴定、编目、划控、解密、开放工作。</w:t>
      </w:r>
    </w:p>
    <w:p>
      <w:pPr>
        <w:overflowPunct w:val="0"/>
        <w:spacing w:line="578"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spacing w:val="10"/>
          <w:sz w:val="32"/>
          <w:szCs w:val="32"/>
        </w:rPr>
        <w:t>4.</w:t>
      </w:r>
      <w:r>
        <w:rPr>
          <w:rFonts w:ascii="Times New Roman" w:hAnsi="Times New Roman" w:eastAsia="仿宋_GB2312"/>
          <w:spacing w:val="10"/>
          <w:sz w:val="32"/>
          <w:szCs w:val="32"/>
        </w:rPr>
        <w:t>负责</w:t>
      </w:r>
      <w:r>
        <w:rPr>
          <w:rFonts w:hint="eastAsia" w:ascii="Times New Roman" w:hAnsi="Times New Roman" w:eastAsia="仿宋_GB2312"/>
          <w:spacing w:val="10"/>
          <w:sz w:val="32"/>
          <w:szCs w:val="32"/>
        </w:rPr>
        <w:t>县级</w:t>
      </w:r>
      <w:r>
        <w:rPr>
          <w:rFonts w:ascii="Times New Roman" w:hAnsi="Times New Roman" w:eastAsia="仿宋_GB2312"/>
          <w:spacing w:val="10"/>
          <w:sz w:val="32"/>
          <w:szCs w:val="32"/>
        </w:rPr>
        <w:t>档案的</w:t>
      </w:r>
      <w:r>
        <w:rPr>
          <w:rFonts w:hint="eastAsia" w:ascii="Times New Roman" w:hAnsi="Times New Roman" w:eastAsia="仿宋_GB2312"/>
          <w:spacing w:val="10"/>
          <w:sz w:val="32"/>
          <w:szCs w:val="32"/>
        </w:rPr>
        <w:t>提供</w:t>
      </w:r>
      <w:r>
        <w:rPr>
          <w:rFonts w:ascii="Times New Roman" w:hAnsi="Times New Roman" w:eastAsia="仿宋_GB2312"/>
          <w:spacing w:val="10"/>
          <w:sz w:val="32"/>
          <w:szCs w:val="32"/>
        </w:rPr>
        <w:t>利用；负责档案编研出版、展览工作。</w:t>
      </w:r>
    </w:p>
    <w:p>
      <w:pPr>
        <w:overflowPunct w:val="0"/>
        <w:spacing w:line="578"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spacing w:val="10"/>
          <w:sz w:val="32"/>
          <w:szCs w:val="32"/>
        </w:rPr>
        <w:t>5.</w:t>
      </w:r>
      <w:r>
        <w:rPr>
          <w:rFonts w:ascii="Times New Roman" w:hAnsi="Times New Roman" w:eastAsia="仿宋_GB2312"/>
          <w:spacing w:val="10"/>
          <w:sz w:val="32"/>
          <w:szCs w:val="32"/>
        </w:rPr>
        <w:t>负责政务公开信息接收、查阅利用工作。</w:t>
      </w:r>
    </w:p>
    <w:p>
      <w:pPr>
        <w:overflowPunct w:val="0"/>
        <w:spacing w:line="578"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spacing w:val="10"/>
          <w:sz w:val="32"/>
          <w:szCs w:val="32"/>
        </w:rPr>
        <w:t>6.</w:t>
      </w:r>
      <w:r>
        <w:rPr>
          <w:rFonts w:ascii="Times New Roman" w:hAnsi="Times New Roman" w:eastAsia="仿宋_GB2312"/>
          <w:spacing w:val="10"/>
          <w:sz w:val="32"/>
          <w:szCs w:val="32"/>
        </w:rPr>
        <w:t>负责国家重点档案目录体系建设的服务性工作；负责档案科技项目立项、科研成果鉴定和档案科技成果推广应用等方面的</w:t>
      </w:r>
      <w:r>
        <w:rPr>
          <w:rFonts w:hint="eastAsia" w:ascii="Times New Roman" w:hAnsi="Times New Roman" w:eastAsia="仿宋_GB2312"/>
          <w:spacing w:val="10"/>
          <w:sz w:val="32"/>
          <w:szCs w:val="32"/>
        </w:rPr>
        <w:t>事务</w:t>
      </w:r>
      <w:r>
        <w:rPr>
          <w:rFonts w:ascii="Times New Roman" w:hAnsi="Times New Roman" w:eastAsia="仿宋_GB2312"/>
          <w:spacing w:val="10"/>
          <w:sz w:val="32"/>
          <w:szCs w:val="32"/>
        </w:rPr>
        <w:t>性工作。</w:t>
      </w:r>
    </w:p>
    <w:p>
      <w:pPr>
        <w:overflowPunct w:val="0"/>
        <w:spacing w:line="578"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spacing w:val="10"/>
          <w:sz w:val="32"/>
          <w:szCs w:val="32"/>
        </w:rPr>
        <w:t>7.</w:t>
      </w:r>
      <w:r>
        <w:rPr>
          <w:rFonts w:ascii="Times New Roman" w:hAnsi="Times New Roman" w:eastAsia="仿宋_GB2312"/>
          <w:spacing w:val="10"/>
          <w:sz w:val="32"/>
          <w:szCs w:val="32"/>
        </w:rPr>
        <w:t>负责历史档案抢救、修复、仿真等技术保护工作。</w:t>
      </w:r>
    </w:p>
    <w:p>
      <w:pPr>
        <w:overflowPunct w:val="0"/>
        <w:spacing w:line="578"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spacing w:val="10"/>
          <w:sz w:val="32"/>
          <w:szCs w:val="32"/>
        </w:rPr>
        <w:t>8.</w:t>
      </w:r>
      <w:r>
        <w:rPr>
          <w:rFonts w:ascii="Times New Roman" w:hAnsi="Times New Roman" w:eastAsia="仿宋_GB2312"/>
          <w:spacing w:val="10"/>
          <w:sz w:val="32"/>
          <w:szCs w:val="32"/>
        </w:rPr>
        <w:t>负责电子档案的管理、馆藏档案数字化工作；负责数字档案馆建设、测试、运维与服务工作。</w:t>
      </w:r>
    </w:p>
    <w:p>
      <w:pPr>
        <w:overflowPunct w:val="0"/>
        <w:spacing w:line="578"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spacing w:val="10"/>
          <w:sz w:val="32"/>
          <w:szCs w:val="32"/>
        </w:rPr>
        <w:t>9.</w:t>
      </w:r>
      <w:r>
        <w:rPr>
          <w:rFonts w:ascii="Times New Roman" w:hAnsi="Times New Roman" w:eastAsia="仿宋_GB2312"/>
          <w:spacing w:val="10"/>
          <w:sz w:val="32"/>
          <w:szCs w:val="32"/>
        </w:rPr>
        <w:t>负责档案库房和馆藏档案安全保障、应急处理工作。</w:t>
      </w:r>
    </w:p>
    <w:p>
      <w:pPr>
        <w:overflowPunct w:val="0"/>
        <w:spacing w:line="578"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spacing w:val="10"/>
          <w:sz w:val="32"/>
          <w:szCs w:val="32"/>
        </w:rPr>
        <w:t>10.</w:t>
      </w:r>
      <w:r>
        <w:rPr>
          <w:rFonts w:ascii="Times New Roman" w:hAnsi="Times New Roman" w:eastAsia="仿宋_GB2312"/>
          <w:spacing w:val="10"/>
          <w:sz w:val="32"/>
          <w:szCs w:val="32"/>
        </w:rPr>
        <w:t>完成县委、县政府交办的其他工作。</w:t>
      </w:r>
    </w:p>
    <w:p>
      <w:pPr>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伊川县档案馆</w:t>
      </w:r>
      <w:r>
        <w:rPr>
          <w:rFonts w:ascii="Times New Roman" w:hAnsi="Times New Roman" w:eastAsia="黑体"/>
          <w:sz w:val="32"/>
          <w:szCs w:val="32"/>
        </w:rPr>
        <w:t>预算单位构成情况</w:t>
      </w:r>
    </w:p>
    <w:p>
      <w:pPr>
        <w:kinsoku w:val="0"/>
        <w:overflowPunct w:val="0"/>
        <w:autoSpaceDE w:val="0"/>
        <w:autoSpaceDN w:val="0"/>
        <w:adjustRightInd w:val="0"/>
        <w:snapToGrid w:val="0"/>
        <w:spacing w:line="600" w:lineRule="exact"/>
        <w:ind w:right="118" w:firstLine="640" w:firstLineChars="200"/>
        <w:jc w:val="left"/>
        <w:rPr>
          <w:rFonts w:ascii="Times New Roman" w:hAnsi="Times New Roman" w:eastAsia="仿宋_GB2312"/>
          <w:spacing w:val="-1"/>
          <w:kern w:val="0"/>
          <w:sz w:val="32"/>
          <w:szCs w:val="32"/>
        </w:rPr>
      </w:pPr>
      <w:r>
        <w:rPr>
          <w:rFonts w:hint="eastAsia" w:ascii="Times New Roman" w:hAnsi="Times New Roman" w:eastAsia="仿宋_GB2312"/>
          <w:kern w:val="0"/>
          <w:sz w:val="32"/>
          <w:szCs w:val="32"/>
        </w:rPr>
        <w:t>伊川县档案馆</w:t>
      </w:r>
      <w:r>
        <w:rPr>
          <w:rFonts w:ascii="Times New Roman" w:hAnsi="Times New Roman" w:eastAsia="仿宋_GB2312"/>
          <w:spacing w:val="2"/>
          <w:kern w:val="0"/>
          <w:sz w:val="32"/>
          <w:szCs w:val="32"/>
        </w:rPr>
        <w:t>部门</w:t>
      </w:r>
      <w:r>
        <w:rPr>
          <w:rFonts w:ascii="Times New Roman" w:hAnsi="Times New Roman" w:eastAsia="仿宋_GB2312"/>
          <w:kern w:val="0"/>
          <w:sz w:val="32"/>
          <w:szCs w:val="32"/>
        </w:rPr>
        <w:t>预算</w:t>
      </w:r>
      <w:r>
        <w:rPr>
          <w:rFonts w:ascii="Times New Roman" w:hAnsi="Times New Roman" w:eastAsia="仿宋_GB2312"/>
          <w:spacing w:val="2"/>
          <w:kern w:val="0"/>
          <w:sz w:val="32"/>
          <w:szCs w:val="32"/>
        </w:rPr>
        <w:t>包括</w:t>
      </w:r>
      <w:r>
        <w:rPr>
          <w:rFonts w:ascii="Times New Roman" w:hAnsi="Times New Roman" w:eastAsia="仿宋_GB2312"/>
          <w:kern w:val="0"/>
          <w:sz w:val="32"/>
          <w:szCs w:val="32"/>
        </w:rPr>
        <w:t>局</w:t>
      </w:r>
      <w:r>
        <w:rPr>
          <w:rFonts w:ascii="Times New Roman" w:hAnsi="Times New Roman" w:eastAsia="仿宋_GB2312"/>
          <w:spacing w:val="2"/>
          <w:kern w:val="0"/>
          <w:sz w:val="32"/>
          <w:szCs w:val="32"/>
        </w:rPr>
        <w:t>机关本级</w:t>
      </w:r>
      <w:r>
        <w:rPr>
          <w:rFonts w:ascii="Times New Roman" w:hAnsi="Times New Roman" w:eastAsia="仿宋_GB2312"/>
          <w:spacing w:val="-1"/>
          <w:kern w:val="0"/>
          <w:sz w:val="32"/>
          <w:szCs w:val="32"/>
        </w:rPr>
        <w:t>预算</w:t>
      </w:r>
      <w:r>
        <w:rPr>
          <w:rFonts w:hint="eastAsia" w:ascii="Times New Roman" w:hAnsi="Times New Roman" w:eastAsia="仿宋_GB2312"/>
          <w:spacing w:val="-1"/>
          <w:kern w:val="0"/>
          <w:sz w:val="32"/>
          <w:szCs w:val="32"/>
        </w:rPr>
        <w:t>和所属单位在内的汇总预算</w:t>
      </w:r>
      <w:r>
        <w:rPr>
          <w:rFonts w:ascii="Times New Roman" w:hAnsi="Times New Roman" w:eastAsia="仿宋_GB2312"/>
          <w:spacing w:val="-1"/>
          <w:kern w:val="0"/>
          <w:sz w:val="32"/>
          <w:szCs w:val="32"/>
        </w:rPr>
        <w:t>。</w:t>
      </w:r>
    </w:p>
    <w:p>
      <w:pPr>
        <w:kinsoku w:val="0"/>
        <w:overflowPunct w:val="0"/>
        <w:autoSpaceDE w:val="0"/>
        <w:autoSpaceDN w:val="0"/>
        <w:adjustRightInd w:val="0"/>
        <w:snapToGrid w:val="0"/>
        <w:spacing w:line="600" w:lineRule="exact"/>
        <w:ind w:firstLine="640" w:firstLineChars="200"/>
        <w:jc w:val="left"/>
        <w:rPr>
          <w:rFonts w:ascii="Times New Roman" w:hAnsi="Times New Roman" w:eastAsia="仿宋_GB2312"/>
          <w:spacing w:val="-1"/>
          <w:kern w:val="0"/>
          <w:sz w:val="32"/>
          <w:szCs w:val="32"/>
        </w:rPr>
      </w:pPr>
      <w:r>
        <w:rPr>
          <w:rFonts w:hint="eastAsia" w:ascii="Times New Roman" w:hAnsi="Times New Roman" w:eastAsia="仿宋_GB2312"/>
          <w:kern w:val="0"/>
          <w:sz w:val="32"/>
          <w:szCs w:val="32"/>
        </w:rPr>
        <w:t>伊川县档案馆</w:t>
      </w:r>
      <w:r>
        <w:rPr>
          <w:rFonts w:ascii="Times New Roman" w:hAnsi="Times New Roman" w:eastAsia="仿宋_GB2312"/>
          <w:spacing w:val="-1"/>
          <w:kern w:val="0"/>
          <w:sz w:val="32"/>
          <w:szCs w:val="32"/>
        </w:rPr>
        <w:t>本级预算包括：办公室、</w:t>
      </w:r>
      <w:r>
        <w:rPr>
          <w:rFonts w:hint="eastAsia" w:ascii="Times New Roman" w:hAnsi="Times New Roman" w:eastAsia="仿宋_GB2312"/>
          <w:spacing w:val="-1"/>
          <w:kern w:val="0"/>
          <w:sz w:val="32"/>
          <w:szCs w:val="32"/>
        </w:rPr>
        <w:t>接收征集股</w:t>
      </w:r>
      <w:r>
        <w:rPr>
          <w:rFonts w:ascii="Times New Roman" w:hAnsi="Times New Roman" w:eastAsia="仿宋_GB2312"/>
          <w:spacing w:val="-1"/>
          <w:kern w:val="0"/>
          <w:sz w:val="32"/>
          <w:szCs w:val="32"/>
        </w:rPr>
        <w:t>、</w:t>
      </w:r>
      <w:r>
        <w:rPr>
          <w:rFonts w:hint="eastAsia" w:ascii="Times New Roman" w:hAnsi="Times New Roman" w:eastAsia="仿宋_GB2312"/>
          <w:spacing w:val="-1"/>
          <w:kern w:val="0"/>
          <w:sz w:val="32"/>
          <w:szCs w:val="32"/>
        </w:rPr>
        <w:t>保管利用和数字化建设股</w:t>
      </w:r>
      <w:r>
        <w:rPr>
          <w:rFonts w:ascii="Times New Roman" w:hAnsi="Times New Roman" w:eastAsia="仿宋_GB2312"/>
          <w:spacing w:val="-1"/>
          <w:kern w:val="0"/>
          <w:sz w:val="32"/>
          <w:szCs w:val="32"/>
        </w:rPr>
        <w:t>的预算。</w:t>
      </w:r>
    </w:p>
    <w:p>
      <w:pPr>
        <w:kinsoku w:val="0"/>
        <w:overflowPunct w:val="0"/>
        <w:autoSpaceDE w:val="0"/>
        <w:autoSpaceDN w:val="0"/>
        <w:adjustRightInd w:val="0"/>
        <w:snapToGrid w:val="0"/>
        <w:spacing w:line="600" w:lineRule="exact"/>
        <w:ind w:right="118" w:firstLine="640" w:firstLineChars="200"/>
        <w:jc w:val="left"/>
        <w:rPr>
          <w:rFonts w:hint="eastAsia" w:ascii="Times New Roman" w:hAnsi="Times New Roman" w:eastAsia="仿宋_GB2312"/>
          <w:sz w:val="32"/>
          <w:szCs w:val="32"/>
          <w:lang w:eastAsia="zh-CN"/>
        </w:rPr>
      </w:pPr>
      <w:r>
        <w:rPr>
          <w:rFonts w:hint="eastAsia" w:ascii="Times New Roman" w:hAnsi="Times New Roman" w:eastAsia="仿宋_GB2312"/>
          <w:sz w:val="32"/>
          <w:szCs w:val="32"/>
        </w:rPr>
        <w:t>伊川县档案馆所属单位预算包括：无</w:t>
      </w:r>
      <w:r>
        <w:rPr>
          <w:rFonts w:hint="eastAsia" w:ascii="Times New Roman" w:hAnsi="Times New Roman" w:eastAsia="仿宋_GB2312"/>
          <w:sz w:val="32"/>
          <w:szCs w:val="32"/>
          <w:lang w:eastAsia="zh-CN"/>
        </w:rPr>
        <w:t>。</w:t>
      </w:r>
    </w:p>
    <w:p>
      <w:pPr>
        <w:kinsoku w:val="0"/>
        <w:overflowPunct w:val="0"/>
        <w:autoSpaceDE w:val="0"/>
        <w:autoSpaceDN w:val="0"/>
        <w:adjustRightInd w:val="0"/>
        <w:snapToGrid w:val="0"/>
        <w:spacing w:line="600" w:lineRule="exact"/>
        <w:ind w:right="118" w:firstLine="636" w:firstLineChars="200"/>
        <w:jc w:val="left"/>
        <w:rPr>
          <w:rFonts w:ascii="Times New Roman" w:hAnsi="Times New Roman" w:eastAsia="仿宋_GB2312"/>
          <w:spacing w:val="-1"/>
          <w:kern w:val="0"/>
          <w:sz w:val="32"/>
          <w:szCs w:val="32"/>
        </w:rPr>
      </w:pPr>
    </w:p>
    <w:p>
      <w:pPr>
        <w:overflowPunct w:val="0"/>
        <w:adjustRightInd w:val="0"/>
        <w:snapToGrid w:val="0"/>
        <w:spacing w:line="600" w:lineRule="exact"/>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rPr>
          <w:rFonts w:ascii="Times New Roman" w:hAnsi="Times New Roman" w:eastAsia="黑体"/>
          <w:sz w:val="36"/>
          <w:szCs w:val="36"/>
        </w:rPr>
      </w:pPr>
    </w:p>
    <w:p>
      <w:pPr>
        <w:overflowPunct w:val="0"/>
        <w:adjustRightInd w:val="0"/>
        <w:snapToGrid w:val="0"/>
        <w:spacing w:line="600" w:lineRule="exact"/>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r>
        <w:rPr>
          <w:rFonts w:ascii="Times New Roman" w:hAnsi="Times New Roman" w:eastAsia="黑体"/>
          <w:sz w:val="36"/>
          <w:szCs w:val="36"/>
        </w:rPr>
        <w:t>第二部分</w:t>
      </w:r>
    </w:p>
    <w:p>
      <w:pPr>
        <w:overflowPunct w:val="0"/>
        <w:adjustRightInd w:val="0"/>
        <w:snapToGrid w:val="0"/>
        <w:spacing w:line="600" w:lineRule="exact"/>
        <w:jc w:val="center"/>
        <w:rPr>
          <w:rFonts w:ascii="Times New Roman" w:hAnsi="Times New Roman"/>
          <w:b/>
          <w:bCs/>
          <w:sz w:val="32"/>
          <w:szCs w:val="32"/>
        </w:rPr>
      </w:pPr>
      <w:r>
        <w:rPr>
          <w:rFonts w:ascii="Times New Roman" w:hAnsi="Times New Roman"/>
          <w:b/>
          <w:bCs/>
          <w:sz w:val="32"/>
          <w:szCs w:val="32"/>
        </w:rPr>
        <w:t>2022年</w:t>
      </w:r>
      <w:r>
        <w:rPr>
          <w:rFonts w:hint="eastAsia" w:ascii="Times New Roman" w:hAnsi="Times New Roman"/>
          <w:b/>
          <w:bCs/>
          <w:sz w:val="32"/>
          <w:szCs w:val="32"/>
        </w:rPr>
        <w:t>伊川县档案馆部门预算</w:t>
      </w:r>
      <w:r>
        <w:rPr>
          <w:rFonts w:ascii="Times New Roman" w:hAnsi="Times New Roman"/>
          <w:b/>
          <w:bCs/>
          <w:sz w:val="32"/>
          <w:szCs w:val="32"/>
        </w:rPr>
        <w:t>情况说明</w:t>
      </w:r>
    </w:p>
    <w:p>
      <w:pPr>
        <w:overflowPunct w:val="0"/>
        <w:adjustRightInd w:val="0"/>
        <w:snapToGrid w:val="0"/>
        <w:spacing w:line="600" w:lineRule="exact"/>
        <w:ind w:firstLine="640" w:firstLineChars="200"/>
        <w:rPr>
          <w:rFonts w:ascii="Times New Roman" w:hAnsi="Times New Roman" w:eastAsia="黑体"/>
          <w:sz w:val="32"/>
          <w:szCs w:val="32"/>
        </w:rPr>
      </w:pPr>
    </w:p>
    <w:p>
      <w:pPr>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一、收入支出预算总体情况说明</w:t>
      </w:r>
    </w:p>
    <w:p>
      <w:pPr>
        <w:overflowPunct w:val="0"/>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伊川县档案馆</w:t>
      </w:r>
      <w:r>
        <w:rPr>
          <w:rFonts w:ascii="Times New Roman" w:hAnsi="Times New Roman" w:eastAsia="仿宋_GB2312"/>
          <w:sz w:val="32"/>
          <w:szCs w:val="32"/>
        </w:rPr>
        <w:t>2022年收入总计</w:t>
      </w:r>
      <w:r>
        <w:rPr>
          <w:rFonts w:hint="eastAsia" w:ascii="Times New Roman" w:hAnsi="Times New Roman" w:eastAsia="仿宋_GB2312"/>
          <w:sz w:val="32"/>
          <w:szCs w:val="32"/>
        </w:rPr>
        <w:t>122.68</w:t>
      </w:r>
      <w:r>
        <w:rPr>
          <w:rFonts w:ascii="Times New Roman" w:hAnsi="Times New Roman" w:eastAsia="仿宋_GB2312"/>
          <w:sz w:val="32"/>
          <w:szCs w:val="32"/>
        </w:rPr>
        <w:t>万元，支出总计</w:t>
      </w:r>
      <w:r>
        <w:rPr>
          <w:rFonts w:hint="eastAsia" w:ascii="Times New Roman" w:hAnsi="Times New Roman" w:eastAsia="仿宋_GB2312"/>
          <w:sz w:val="32"/>
          <w:szCs w:val="32"/>
        </w:rPr>
        <w:t>122.68</w:t>
      </w:r>
      <w:r>
        <w:rPr>
          <w:rFonts w:ascii="Times New Roman" w:hAnsi="Times New Roman" w:eastAsia="仿宋_GB2312"/>
          <w:sz w:val="32"/>
          <w:szCs w:val="32"/>
        </w:rPr>
        <w:t>万元，与2021年预算相比，收入增加</w:t>
      </w:r>
      <w:r>
        <w:rPr>
          <w:rFonts w:hint="eastAsia" w:ascii="Times New Roman" w:hAnsi="Times New Roman" w:eastAsia="仿宋_GB2312"/>
          <w:sz w:val="32"/>
          <w:szCs w:val="32"/>
        </w:rPr>
        <w:t>7.02</w:t>
      </w:r>
      <w:r>
        <w:rPr>
          <w:rFonts w:ascii="Times New Roman" w:hAnsi="Times New Roman" w:eastAsia="仿宋_GB2312"/>
          <w:sz w:val="32"/>
          <w:szCs w:val="32"/>
        </w:rPr>
        <w:t>万元，增长</w:t>
      </w:r>
      <w:r>
        <w:rPr>
          <w:rFonts w:hint="eastAsia" w:ascii="Times New Roman" w:hAnsi="Times New Roman" w:eastAsia="仿宋_GB2312"/>
          <w:sz w:val="32"/>
          <w:szCs w:val="32"/>
        </w:rPr>
        <w:t>6.07</w:t>
      </w:r>
      <w:r>
        <w:rPr>
          <w:rFonts w:ascii="Times New Roman" w:hAnsi="Times New Roman" w:eastAsia="仿宋_GB2312"/>
          <w:sz w:val="32"/>
          <w:szCs w:val="32"/>
        </w:rPr>
        <w:t>%。主要原因：</w:t>
      </w:r>
      <w:r>
        <w:rPr>
          <w:rFonts w:hint="eastAsia" w:ascii="Times New Roman" w:hAnsi="Times New Roman" w:eastAsia="仿宋_GB2312"/>
          <w:sz w:val="32"/>
          <w:szCs w:val="32"/>
        </w:rPr>
        <w:t>人员、公用经费增加</w:t>
      </w:r>
      <w:r>
        <w:rPr>
          <w:rFonts w:ascii="Times New Roman" w:hAnsi="Times New Roman" w:eastAsia="仿宋_GB2312"/>
          <w:sz w:val="32"/>
          <w:szCs w:val="32"/>
        </w:rPr>
        <w:t>;支出增加</w:t>
      </w:r>
      <w:r>
        <w:rPr>
          <w:rFonts w:hint="eastAsia" w:ascii="Times New Roman" w:hAnsi="Times New Roman" w:eastAsia="仿宋_GB2312"/>
          <w:sz w:val="32"/>
          <w:szCs w:val="32"/>
        </w:rPr>
        <w:t>7.02</w:t>
      </w:r>
      <w:r>
        <w:rPr>
          <w:rFonts w:ascii="Times New Roman" w:hAnsi="Times New Roman" w:eastAsia="仿宋_GB2312"/>
          <w:sz w:val="32"/>
          <w:szCs w:val="32"/>
        </w:rPr>
        <w:t>万元，增长</w:t>
      </w:r>
      <w:r>
        <w:rPr>
          <w:rFonts w:hint="eastAsia" w:ascii="Times New Roman" w:hAnsi="Times New Roman" w:eastAsia="仿宋_GB2312"/>
          <w:sz w:val="32"/>
          <w:szCs w:val="32"/>
        </w:rPr>
        <w:t>6.07%。主</w:t>
      </w:r>
      <w:r>
        <w:rPr>
          <w:rFonts w:ascii="Times New Roman" w:hAnsi="Times New Roman" w:eastAsia="仿宋_GB2312"/>
          <w:sz w:val="32"/>
          <w:szCs w:val="32"/>
        </w:rPr>
        <w:t>要原因：</w:t>
      </w:r>
      <w:r>
        <w:rPr>
          <w:rFonts w:hint="eastAsia" w:ascii="Times New Roman" w:hAnsi="Times New Roman" w:eastAsia="仿宋_GB2312"/>
          <w:sz w:val="32"/>
          <w:szCs w:val="32"/>
        </w:rPr>
        <w:t>人员、公用经费增加</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二、收入预算总体情况说明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伊川县档案馆</w:t>
      </w:r>
      <w:r>
        <w:rPr>
          <w:rFonts w:ascii="Times New Roman" w:hAnsi="Times New Roman" w:eastAsia="仿宋_GB2312"/>
          <w:sz w:val="32"/>
          <w:szCs w:val="32"/>
        </w:rPr>
        <w:t>2022年收入合计</w:t>
      </w:r>
      <w:r>
        <w:rPr>
          <w:rFonts w:hint="eastAsia" w:ascii="Times New Roman" w:hAnsi="Times New Roman" w:eastAsia="仿宋_GB2312"/>
          <w:sz w:val="32"/>
          <w:szCs w:val="32"/>
        </w:rPr>
        <w:t>122.68</w:t>
      </w:r>
      <w:r>
        <w:rPr>
          <w:rFonts w:ascii="Times New Roman" w:hAnsi="Times New Roman" w:eastAsia="仿宋_GB2312"/>
          <w:sz w:val="32"/>
          <w:szCs w:val="32"/>
        </w:rPr>
        <w:t>万元，其中：一般公共预算</w:t>
      </w:r>
      <w:r>
        <w:rPr>
          <w:rFonts w:hint="eastAsia" w:ascii="Times New Roman" w:hAnsi="Times New Roman" w:eastAsia="仿宋_GB2312"/>
          <w:sz w:val="32"/>
          <w:szCs w:val="32"/>
        </w:rPr>
        <w:t>122.68</w:t>
      </w:r>
      <w:r>
        <w:rPr>
          <w:rFonts w:ascii="Times New Roman" w:hAnsi="Times New Roman" w:eastAsia="仿宋_GB2312"/>
          <w:sz w:val="32"/>
          <w:szCs w:val="32"/>
        </w:rPr>
        <w:t>万元;事业收入</w:t>
      </w:r>
      <w:r>
        <w:rPr>
          <w:rFonts w:hint="eastAsia" w:ascii="Times New Roman" w:hAnsi="Times New Roman" w:eastAsia="仿宋_GB2312"/>
          <w:sz w:val="32"/>
          <w:szCs w:val="32"/>
        </w:rPr>
        <w:t>0</w:t>
      </w:r>
      <w:r>
        <w:rPr>
          <w:rFonts w:ascii="Times New Roman" w:hAnsi="Times New Roman" w:eastAsia="仿宋_GB2312"/>
          <w:sz w:val="32"/>
          <w:szCs w:val="32"/>
        </w:rPr>
        <w:t>万元；</w:t>
      </w:r>
      <w:r>
        <w:rPr>
          <w:rFonts w:hint="eastAsia" w:ascii="Times New Roman" w:hAnsi="Times New Roman" w:eastAsia="仿宋_GB2312"/>
          <w:sz w:val="32"/>
          <w:szCs w:val="32"/>
        </w:rPr>
        <w:t>0</w:t>
      </w:r>
      <w:r>
        <w:rPr>
          <w:rFonts w:ascii="Times New Roman" w:hAnsi="Times New Roman" w:eastAsia="仿宋_GB2312"/>
          <w:sz w:val="32"/>
          <w:szCs w:val="32"/>
        </w:rPr>
        <w:t>财政性结转资金</w:t>
      </w:r>
      <w:r>
        <w:rPr>
          <w:rFonts w:hint="eastAsia" w:ascii="Times New Roman" w:hAnsi="Times New Roman" w:eastAsia="仿宋_GB2312"/>
          <w:sz w:val="32"/>
          <w:szCs w:val="32"/>
        </w:rPr>
        <w:t>0</w:t>
      </w:r>
      <w:r>
        <w:rPr>
          <w:rFonts w:ascii="Times New Roman" w:hAnsi="Times New Roman" w:eastAsia="仿宋_GB2312"/>
          <w:sz w:val="32"/>
          <w:szCs w:val="32"/>
        </w:rPr>
        <w:t>万元。</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三、支出预算总体情况说明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伊川县档案馆</w:t>
      </w:r>
      <w:r>
        <w:rPr>
          <w:rFonts w:ascii="Times New Roman" w:hAnsi="Times New Roman" w:eastAsia="仿宋_GB2312"/>
          <w:sz w:val="32"/>
          <w:szCs w:val="32"/>
        </w:rPr>
        <w:t>2022年支出合计</w:t>
      </w:r>
      <w:r>
        <w:rPr>
          <w:rFonts w:hint="eastAsia" w:ascii="Times New Roman" w:hAnsi="Times New Roman" w:eastAsia="仿宋_GB2312"/>
          <w:sz w:val="32"/>
          <w:szCs w:val="32"/>
        </w:rPr>
        <w:t>122.68</w:t>
      </w:r>
      <w:r>
        <w:rPr>
          <w:rFonts w:ascii="Times New Roman" w:hAnsi="Times New Roman" w:eastAsia="仿宋_GB2312"/>
          <w:sz w:val="32"/>
          <w:szCs w:val="32"/>
        </w:rPr>
        <w:t>万元，其中：基本支出</w:t>
      </w:r>
      <w:r>
        <w:rPr>
          <w:rFonts w:hint="eastAsia" w:ascii="Times New Roman" w:hAnsi="Times New Roman" w:eastAsia="仿宋_GB2312"/>
          <w:sz w:val="32"/>
          <w:szCs w:val="32"/>
        </w:rPr>
        <w:t>101.68</w:t>
      </w:r>
      <w:r>
        <w:rPr>
          <w:rFonts w:ascii="Times New Roman" w:hAnsi="Times New Roman" w:eastAsia="仿宋_GB2312"/>
          <w:sz w:val="32"/>
          <w:szCs w:val="32"/>
        </w:rPr>
        <w:t>万元，占</w:t>
      </w:r>
      <w:r>
        <w:rPr>
          <w:rFonts w:hint="eastAsia" w:ascii="Times New Roman" w:hAnsi="Times New Roman" w:eastAsia="仿宋_GB2312"/>
          <w:sz w:val="32"/>
          <w:szCs w:val="32"/>
        </w:rPr>
        <w:t>82.88</w:t>
      </w:r>
      <w:r>
        <w:rPr>
          <w:rFonts w:ascii="Times New Roman" w:hAnsi="Times New Roman" w:eastAsia="仿宋_GB2312"/>
          <w:sz w:val="32"/>
          <w:szCs w:val="32"/>
        </w:rPr>
        <w:t>%；项目支出</w:t>
      </w:r>
      <w:r>
        <w:rPr>
          <w:rFonts w:hint="eastAsia" w:ascii="Times New Roman" w:hAnsi="Times New Roman" w:eastAsia="仿宋_GB2312"/>
          <w:sz w:val="32"/>
          <w:szCs w:val="32"/>
        </w:rPr>
        <w:t>21.00</w:t>
      </w:r>
      <w:r>
        <w:rPr>
          <w:rFonts w:ascii="Times New Roman" w:hAnsi="Times New Roman" w:eastAsia="仿宋_GB2312"/>
          <w:sz w:val="32"/>
          <w:szCs w:val="32"/>
        </w:rPr>
        <w:t>万元，占</w:t>
      </w:r>
      <w:r>
        <w:rPr>
          <w:rFonts w:hint="eastAsia" w:ascii="Times New Roman" w:hAnsi="Times New Roman" w:eastAsia="仿宋_GB2312"/>
          <w:sz w:val="32"/>
          <w:szCs w:val="32"/>
        </w:rPr>
        <w:t>17.12</w:t>
      </w:r>
      <w:r>
        <w:rPr>
          <w:rFonts w:ascii="Times New Roman" w:hAnsi="Times New Roman" w:eastAsia="仿宋_GB2312"/>
          <w:sz w:val="32"/>
          <w:szCs w:val="32"/>
        </w:rPr>
        <w:t>%</w:t>
      </w:r>
      <w:r>
        <w:rPr>
          <w:rFonts w:hint="eastAsia" w:ascii="Times New Roman" w:hAnsi="Times New Roman" w:eastAsia="仿宋_GB2312"/>
          <w:sz w:val="32"/>
          <w:szCs w:val="32"/>
        </w:rPr>
        <w:t>。</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四、财政拨款收入支出预算总体情况说明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伊川县档案馆</w:t>
      </w:r>
      <w:r>
        <w:rPr>
          <w:rFonts w:ascii="Times New Roman" w:hAnsi="Times New Roman" w:eastAsia="仿宋_GB2312"/>
          <w:sz w:val="32"/>
          <w:szCs w:val="32"/>
        </w:rPr>
        <w:t>2022年一般公共预算收支预算</w:t>
      </w:r>
      <w:r>
        <w:rPr>
          <w:rFonts w:hint="eastAsia" w:ascii="Times New Roman" w:hAnsi="Times New Roman" w:eastAsia="仿宋_GB2312"/>
          <w:sz w:val="32"/>
          <w:szCs w:val="32"/>
        </w:rPr>
        <w:t>122.68</w:t>
      </w:r>
      <w:r>
        <w:rPr>
          <w:rFonts w:ascii="Times New Roman" w:hAnsi="Times New Roman" w:eastAsia="仿宋_GB2312"/>
          <w:sz w:val="32"/>
          <w:szCs w:val="32"/>
        </w:rPr>
        <w:t>万元，政府性基金收支预算</w:t>
      </w:r>
      <w:r>
        <w:rPr>
          <w:rFonts w:hint="eastAsia" w:ascii="Times New Roman" w:hAnsi="Times New Roman" w:eastAsia="仿宋_GB2312"/>
          <w:sz w:val="32"/>
          <w:szCs w:val="32"/>
        </w:rPr>
        <w:t>0</w:t>
      </w:r>
      <w:r>
        <w:rPr>
          <w:rFonts w:ascii="Times New Roman" w:hAnsi="Times New Roman" w:eastAsia="仿宋_GB2312"/>
          <w:sz w:val="32"/>
          <w:szCs w:val="32"/>
        </w:rPr>
        <w:t>万元。与2021年相比，一般公共预算收支预算增加</w:t>
      </w:r>
      <w:r>
        <w:rPr>
          <w:rFonts w:hint="eastAsia" w:ascii="Times New Roman" w:hAnsi="Times New Roman" w:eastAsia="仿宋_GB2312"/>
          <w:sz w:val="32"/>
          <w:szCs w:val="32"/>
        </w:rPr>
        <w:t>7.02</w:t>
      </w:r>
      <w:r>
        <w:rPr>
          <w:rFonts w:ascii="Times New Roman" w:hAnsi="Times New Roman" w:eastAsia="仿宋_GB2312"/>
          <w:sz w:val="32"/>
          <w:szCs w:val="32"/>
        </w:rPr>
        <w:t>万元，增长</w:t>
      </w:r>
      <w:r>
        <w:rPr>
          <w:rFonts w:hint="eastAsia" w:ascii="Times New Roman" w:hAnsi="Times New Roman" w:eastAsia="仿宋_GB2312"/>
          <w:sz w:val="32"/>
          <w:szCs w:val="32"/>
        </w:rPr>
        <w:t>7.02</w:t>
      </w:r>
      <w:r>
        <w:rPr>
          <w:rFonts w:ascii="Times New Roman" w:hAnsi="Times New Roman" w:eastAsia="仿宋_GB2312"/>
          <w:sz w:val="32"/>
          <w:szCs w:val="32"/>
        </w:rPr>
        <w:t>%，主要原因：</w:t>
      </w:r>
      <w:r>
        <w:rPr>
          <w:rFonts w:hint="eastAsia" w:ascii="Times New Roman" w:hAnsi="Times New Roman" w:eastAsia="仿宋_GB2312"/>
          <w:sz w:val="32"/>
          <w:szCs w:val="32"/>
        </w:rPr>
        <w:t>人员经费增加</w:t>
      </w:r>
      <w:r>
        <w:rPr>
          <w:rFonts w:ascii="Times New Roman" w:hAnsi="Times New Roman" w:eastAsia="仿宋_GB2312"/>
          <w:sz w:val="32"/>
          <w:szCs w:val="32"/>
        </w:rPr>
        <w:t>；政府性基金收支预算增加</w:t>
      </w:r>
      <w:r>
        <w:rPr>
          <w:rFonts w:hint="eastAsia" w:ascii="Times New Roman" w:hAnsi="Times New Roman" w:eastAsia="仿宋_GB2312"/>
          <w:sz w:val="32"/>
          <w:szCs w:val="32"/>
        </w:rPr>
        <w:t>0</w:t>
      </w:r>
      <w:r>
        <w:rPr>
          <w:rFonts w:ascii="Times New Roman" w:hAnsi="Times New Roman" w:eastAsia="仿宋_GB2312"/>
          <w:sz w:val="32"/>
          <w:szCs w:val="32"/>
        </w:rPr>
        <w:t>万元，增长</w:t>
      </w:r>
      <w:r>
        <w:rPr>
          <w:rFonts w:hint="eastAsia" w:ascii="Times New Roman" w:hAnsi="Times New Roman" w:eastAsia="仿宋_GB2312"/>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五、一般公共预算支出预算情况说明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伊川县档案馆</w:t>
      </w:r>
      <w:r>
        <w:rPr>
          <w:rFonts w:ascii="Times New Roman" w:hAnsi="Times New Roman" w:eastAsia="仿宋_GB2312"/>
          <w:sz w:val="32"/>
          <w:szCs w:val="32"/>
        </w:rPr>
        <w:t>2022年一般公共预算支出年初预算为</w:t>
      </w:r>
      <w:r>
        <w:rPr>
          <w:rFonts w:hint="eastAsia" w:ascii="Times New Roman" w:hAnsi="Times New Roman" w:eastAsia="仿宋_GB2312"/>
          <w:sz w:val="32"/>
          <w:szCs w:val="32"/>
        </w:rPr>
        <w:t>122.68</w:t>
      </w:r>
      <w:r>
        <w:rPr>
          <w:rFonts w:ascii="Times New Roman" w:hAnsi="Times New Roman" w:eastAsia="仿宋_GB2312"/>
          <w:sz w:val="32"/>
          <w:szCs w:val="32"/>
        </w:rPr>
        <w:t>万元。其中：基本支出</w:t>
      </w:r>
      <w:r>
        <w:rPr>
          <w:rFonts w:hint="eastAsia" w:ascii="Times New Roman" w:hAnsi="Times New Roman" w:eastAsia="仿宋_GB2312"/>
          <w:sz w:val="32"/>
          <w:szCs w:val="32"/>
        </w:rPr>
        <w:t>101.68</w:t>
      </w:r>
      <w:r>
        <w:rPr>
          <w:rFonts w:ascii="Times New Roman" w:hAnsi="Times New Roman" w:eastAsia="仿宋_GB2312"/>
          <w:sz w:val="32"/>
          <w:szCs w:val="32"/>
        </w:rPr>
        <w:t>万元，占</w:t>
      </w:r>
      <w:r>
        <w:rPr>
          <w:rFonts w:hint="eastAsia" w:ascii="Times New Roman" w:hAnsi="Times New Roman" w:eastAsia="仿宋_GB2312"/>
          <w:sz w:val="32"/>
          <w:szCs w:val="32"/>
        </w:rPr>
        <w:t>82.88</w:t>
      </w:r>
      <w:r>
        <w:rPr>
          <w:rFonts w:ascii="Times New Roman" w:hAnsi="Times New Roman" w:eastAsia="仿宋_GB2312"/>
          <w:sz w:val="32"/>
          <w:szCs w:val="32"/>
        </w:rPr>
        <w:t>%；项目支出</w:t>
      </w:r>
      <w:r>
        <w:rPr>
          <w:rFonts w:hint="eastAsia" w:ascii="Times New Roman" w:hAnsi="Times New Roman" w:eastAsia="仿宋_GB2312"/>
          <w:sz w:val="32"/>
          <w:szCs w:val="32"/>
        </w:rPr>
        <w:t>21.00</w:t>
      </w:r>
      <w:r>
        <w:rPr>
          <w:rFonts w:ascii="Times New Roman" w:hAnsi="Times New Roman" w:eastAsia="仿宋_GB2312"/>
          <w:sz w:val="32"/>
          <w:szCs w:val="32"/>
        </w:rPr>
        <w:t>万元，占</w:t>
      </w:r>
      <w:r>
        <w:rPr>
          <w:rFonts w:hint="eastAsia" w:ascii="Times New Roman" w:hAnsi="Times New Roman" w:eastAsia="仿宋_GB2312"/>
          <w:sz w:val="32"/>
          <w:szCs w:val="32"/>
        </w:rPr>
        <w:t>17.12</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黑体"/>
          <w:sz w:val="32"/>
        </w:rPr>
      </w:pPr>
      <w:r>
        <w:rPr>
          <w:rFonts w:ascii="Times New Roman" w:hAnsi="Times New Roman" w:eastAsia="黑体"/>
          <w:kern w:val="0"/>
          <w:sz w:val="32"/>
          <w:szCs w:val="32"/>
        </w:rPr>
        <w:t>六、</w:t>
      </w:r>
      <w:r>
        <w:rPr>
          <w:rFonts w:ascii="Times New Roman" w:hAnsi="Times New Roman" w:eastAsia="黑体"/>
          <w:sz w:val="32"/>
        </w:rPr>
        <w:t>一般公共预算基本支出预算情况说明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伊川县档案馆</w:t>
      </w:r>
      <w:r>
        <w:rPr>
          <w:rFonts w:ascii="Times New Roman" w:hAnsi="Times New Roman" w:eastAsia="仿宋_GB2312"/>
          <w:sz w:val="32"/>
          <w:szCs w:val="32"/>
        </w:rPr>
        <w:t>2022年一般公共预算基本支出年初预算为</w:t>
      </w:r>
      <w:r>
        <w:rPr>
          <w:rFonts w:hint="eastAsia" w:ascii="Times New Roman" w:hAnsi="Times New Roman" w:eastAsia="仿宋_GB2312"/>
          <w:sz w:val="32"/>
          <w:szCs w:val="32"/>
        </w:rPr>
        <w:t>101.68</w:t>
      </w:r>
      <w:r>
        <w:rPr>
          <w:rFonts w:ascii="Times New Roman" w:hAnsi="Times New Roman" w:eastAsia="仿宋_GB2312"/>
          <w:sz w:val="32"/>
          <w:szCs w:val="32"/>
        </w:rPr>
        <w:t>万元。其中：人员经费支出</w:t>
      </w:r>
      <w:r>
        <w:rPr>
          <w:rFonts w:hint="eastAsia" w:ascii="Times New Roman" w:hAnsi="Times New Roman" w:eastAsia="仿宋_GB2312"/>
          <w:sz w:val="32"/>
          <w:szCs w:val="32"/>
        </w:rPr>
        <w:t>92.63</w:t>
      </w:r>
      <w:r>
        <w:rPr>
          <w:rFonts w:ascii="Times New Roman" w:hAnsi="Times New Roman" w:eastAsia="仿宋_GB2312"/>
          <w:sz w:val="32"/>
          <w:szCs w:val="32"/>
        </w:rPr>
        <w:t>万元，占</w:t>
      </w:r>
      <w:r>
        <w:rPr>
          <w:rFonts w:hint="eastAsia" w:ascii="Times New Roman" w:hAnsi="Times New Roman" w:eastAsia="仿宋_GB2312"/>
          <w:sz w:val="32"/>
          <w:szCs w:val="32"/>
        </w:rPr>
        <w:t>91.09</w:t>
      </w:r>
      <w:r>
        <w:rPr>
          <w:rFonts w:ascii="Times New Roman" w:hAnsi="Times New Roman" w:eastAsia="仿宋_GB2312"/>
          <w:sz w:val="32"/>
          <w:szCs w:val="32"/>
        </w:rPr>
        <w:t>%；公用经费支出</w:t>
      </w:r>
      <w:r>
        <w:rPr>
          <w:rFonts w:hint="eastAsia" w:ascii="Times New Roman" w:hAnsi="Times New Roman" w:eastAsia="仿宋_GB2312"/>
          <w:sz w:val="32"/>
          <w:szCs w:val="32"/>
        </w:rPr>
        <w:t>9.05</w:t>
      </w:r>
      <w:r>
        <w:rPr>
          <w:rFonts w:ascii="Times New Roman" w:hAnsi="Times New Roman" w:eastAsia="仿宋_GB2312"/>
          <w:sz w:val="32"/>
          <w:szCs w:val="32"/>
        </w:rPr>
        <w:t>万元，占</w:t>
      </w:r>
      <w:r>
        <w:rPr>
          <w:rFonts w:hint="eastAsia" w:ascii="Times New Roman" w:hAnsi="Times New Roman" w:eastAsia="仿宋_GB2312"/>
          <w:sz w:val="32"/>
          <w:szCs w:val="32"/>
        </w:rPr>
        <w:t>8.91</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七、</w:t>
      </w:r>
      <w:r>
        <w:rPr>
          <w:rFonts w:ascii="Times New Roman" w:hAnsi="Times New Roman" w:eastAsia="黑体"/>
          <w:sz w:val="32"/>
        </w:rPr>
        <w:t>一般公共预算</w:t>
      </w:r>
      <w:r>
        <w:rPr>
          <w:rFonts w:ascii="Times New Roman" w:hAnsi="Times New Roman" w:eastAsia="黑体"/>
          <w:kern w:val="0"/>
          <w:sz w:val="32"/>
          <w:szCs w:val="32"/>
        </w:rPr>
        <w:t>“三公”经费支出预算情况说明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伊川县档案馆</w:t>
      </w:r>
      <w:r>
        <w:rPr>
          <w:rFonts w:ascii="Times New Roman" w:hAnsi="Times New Roman" w:eastAsia="仿宋_GB2312"/>
          <w:sz w:val="32"/>
          <w:szCs w:val="32"/>
        </w:rPr>
        <w:t>2022年“三公”经费支出预算为</w:t>
      </w:r>
      <w:r>
        <w:rPr>
          <w:rFonts w:hint="eastAsia" w:ascii="Times New Roman" w:hAnsi="Times New Roman" w:eastAsia="仿宋_GB2312"/>
          <w:sz w:val="32"/>
          <w:szCs w:val="32"/>
        </w:rPr>
        <w:t>0</w:t>
      </w:r>
      <w:r>
        <w:rPr>
          <w:rFonts w:ascii="Times New Roman" w:hAnsi="Times New Roman" w:eastAsia="仿宋_GB2312"/>
          <w:sz w:val="32"/>
          <w:szCs w:val="32"/>
        </w:rPr>
        <w:t>万元。2022年“三公”经费支出预算数比2021年增加</w:t>
      </w:r>
      <w:r>
        <w:rPr>
          <w:rFonts w:hint="eastAsia" w:ascii="Times New Roman" w:hAnsi="Times New Roman" w:eastAsia="仿宋_GB2312"/>
          <w:sz w:val="32"/>
          <w:szCs w:val="32"/>
        </w:rPr>
        <w:t>0</w:t>
      </w:r>
      <w:r>
        <w:rPr>
          <w:rFonts w:ascii="Times New Roman" w:hAnsi="Times New Roman" w:eastAsia="仿宋_GB2312"/>
          <w:sz w:val="32"/>
          <w:szCs w:val="32"/>
        </w:rPr>
        <w:t>万元。</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具体支出情况如下：</w:t>
      </w:r>
    </w:p>
    <w:p>
      <w:pPr>
        <w:kinsoku w:val="0"/>
        <w:overflowPunct w:val="0"/>
        <w:autoSpaceDE w:val="0"/>
        <w:autoSpaceDN w:val="0"/>
        <w:adjustRightInd w:val="0"/>
        <w:snapToGrid w:val="0"/>
        <w:spacing w:line="600" w:lineRule="exact"/>
        <w:ind w:firstLine="639" w:firstLineChars="200"/>
        <w:rPr>
          <w:rFonts w:ascii="Times New Roman" w:hAnsi="Times New Roman" w:eastAsia="仿宋_GB2312"/>
          <w:sz w:val="32"/>
          <w:szCs w:val="32"/>
        </w:rPr>
      </w:pPr>
      <w:r>
        <w:rPr>
          <w:rFonts w:ascii="Times New Roman" w:hAnsi="Times New Roman" w:eastAsia="仿宋_GB2312"/>
          <w:b/>
          <w:spacing w:val="-1"/>
          <w:kern w:val="0"/>
          <w:sz w:val="32"/>
          <w:szCs w:val="32"/>
        </w:rPr>
        <w:t>（一）因公出国（境）费</w:t>
      </w:r>
      <w:r>
        <w:rPr>
          <w:rFonts w:ascii="Times New Roman" w:hAnsi="Times New Roman" w:eastAsia="仿宋_GB2312"/>
          <w:sz w:val="32"/>
          <w:szCs w:val="32"/>
        </w:rPr>
        <w:t>0万元</w:t>
      </w:r>
      <w:r>
        <w:rPr>
          <w:rFonts w:ascii="Times New Roman" w:hAnsi="Times New Roman" w:eastAsia="仿宋_GB2312"/>
          <w:spacing w:val="-1"/>
          <w:kern w:val="0"/>
          <w:sz w:val="32"/>
          <w:szCs w:val="32"/>
        </w:rPr>
        <w:t>，</w:t>
      </w:r>
      <w:r>
        <w:rPr>
          <w:rFonts w:ascii="Times New Roman" w:hAnsi="Times New Roman" w:eastAsia="仿宋_GB2312"/>
          <w:sz w:val="32"/>
          <w:szCs w:val="32"/>
        </w:rPr>
        <w:t>主要用于单位工作人员公务出国（境）的住宿费、旅费、伙食补助费、杂费、培训费等支出。预算数与2021年保持一致。</w:t>
      </w:r>
    </w:p>
    <w:p>
      <w:pPr>
        <w:kinsoku w:val="0"/>
        <w:overflowPunct w:val="0"/>
        <w:autoSpaceDE w:val="0"/>
        <w:autoSpaceDN w:val="0"/>
        <w:adjustRightInd w:val="0"/>
        <w:snapToGrid w:val="0"/>
        <w:spacing w:line="600" w:lineRule="exact"/>
        <w:ind w:firstLine="639" w:firstLineChars="200"/>
        <w:rPr>
          <w:rFonts w:ascii="Times New Roman" w:hAnsi="Times New Roman" w:eastAsia="仿宋_GB2312"/>
          <w:sz w:val="32"/>
          <w:szCs w:val="32"/>
        </w:rPr>
      </w:pPr>
      <w:r>
        <w:rPr>
          <w:rFonts w:hint="eastAsia" w:ascii="Times New Roman" w:hAnsi="Times New Roman" w:eastAsia="仿宋_GB2312"/>
          <w:b/>
          <w:spacing w:val="-1"/>
          <w:kern w:val="0"/>
          <w:sz w:val="32"/>
          <w:szCs w:val="32"/>
        </w:rPr>
        <w:t>（二）公务接待费</w:t>
      </w:r>
      <w:r>
        <w:rPr>
          <w:rFonts w:hint="eastAsia" w:ascii="Times New Roman" w:hAnsi="Times New Roman" w:eastAsia="仿宋_GB2312"/>
          <w:sz w:val="32"/>
          <w:szCs w:val="32"/>
        </w:rPr>
        <w:t>0</w:t>
      </w:r>
      <w:r>
        <w:rPr>
          <w:rFonts w:ascii="Times New Roman" w:hAnsi="Times New Roman" w:eastAsia="仿宋_GB2312"/>
          <w:sz w:val="32"/>
          <w:szCs w:val="32"/>
        </w:rPr>
        <w:t>万元，</w:t>
      </w:r>
      <w:r>
        <w:rPr>
          <w:rFonts w:hint="eastAsia" w:ascii="Times New Roman" w:hAnsi="Times New Roman" w:eastAsia="仿宋_GB2312"/>
          <w:sz w:val="32"/>
          <w:szCs w:val="32"/>
        </w:rPr>
        <w:t>主要用于按规定开支的各类公务接待（含外宾接待）支出，预算数比2021年增加0</w:t>
      </w:r>
      <w:r>
        <w:rPr>
          <w:rFonts w:ascii="Times New Roman" w:hAnsi="Times New Roman" w:eastAsia="仿宋_GB2312"/>
          <w:sz w:val="32"/>
          <w:szCs w:val="32"/>
        </w:rPr>
        <w:t>万元</w:t>
      </w:r>
      <w:r>
        <w:rPr>
          <w:rFonts w:hint="eastAsia" w:ascii="Times New Roman" w:hAnsi="Times New Roman" w:eastAsia="仿宋_GB2312"/>
          <w:sz w:val="32"/>
          <w:szCs w:val="32"/>
        </w:rPr>
        <w:t>。</w:t>
      </w:r>
    </w:p>
    <w:p>
      <w:pPr>
        <w:kinsoku w:val="0"/>
        <w:overflowPunct w:val="0"/>
        <w:autoSpaceDE w:val="0"/>
        <w:autoSpaceDN w:val="0"/>
        <w:adjustRightInd w:val="0"/>
        <w:snapToGrid w:val="0"/>
        <w:spacing w:line="600" w:lineRule="exact"/>
        <w:ind w:firstLine="639" w:firstLineChars="200"/>
        <w:rPr>
          <w:rFonts w:ascii="Times New Roman" w:hAnsi="Times New Roman" w:eastAsia="仿宋_GB2312"/>
          <w:sz w:val="32"/>
          <w:szCs w:val="32"/>
        </w:rPr>
      </w:pPr>
      <w:r>
        <w:rPr>
          <w:rFonts w:ascii="Times New Roman" w:hAnsi="Times New Roman" w:eastAsia="仿宋_GB2312"/>
          <w:b/>
          <w:spacing w:val="-1"/>
          <w:kern w:val="0"/>
          <w:sz w:val="32"/>
          <w:szCs w:val="32"/>
        </w:rPr>
        <w:t>（三）公务用车购置及运行费</w:t>
      </w:r>
      <w:r>
        <w:rPr>
          <w:rFonts w:hint="eastAsia" w:ascii="Times New Roman" w:hAnsi="Times New Roman" w:eastAsia="仿宋_GB2312"/>
          <w:sz w:val="32"/>
          <w:szCs w:val="32"/>
        </w:rPr>
        <w:t>0</w:t>
      </w:r>
      <w:r>
        <w:rPr>
          <w:rFonts w:ascii="Times New Roman" w:hAnsi="Times New Roman" w:eastAsia="仿宋_GB2312"/>
          <w:sz w:val="32"/>
          <w:szCs w:val="32"/>
        </w:rPr>
        <w:t>万元，其中：公务用车购置费</w:t>
      </w:r>
      <w:r>
        <w:rPr>
          <w:rFonts w:hint="eastAsia" w:ascii="Times New Roman" w:hAnsi="Times New Roman" w:eastAsia="仿宋_GB2312"/>
          <w:sz w:val="32"/>
          <w:szCs w:val="32"/>
        </w:rPr>
        <w:t>0</w:t>
      </w:r>
      <w:r>
        <w:rPr>
          <w:rFonts w:ascii="Times New Roman" w:hAnsi="Times New Roman" w:eastAsia="仿宋_GB2312"/>
          <w:sz w:val="32"/>
          <w:szCs w:val="32"/>
        </w:rPr>
        <w:t>万元；公务用车运行维护费</w:t>
      </w:r>
      <w:r>
        <w:rPr>
          <w:rFonts w:hint="eastAsia" w:ascii="Times New Roman" w:hAnsi="Times New Roman" w:eastAsia="仿宋_GB2312"/>
          <w:sz w:val="32"/>
          <w:szCs w:val="32"/>
        </w:rPr>
        <w:t>0</w:t>
      </w:r>
      <w:r>
        <w:rPr>
          <w:rFonts w:ascii="Times New Roman" w:hAnsi="Times New Roman" w:eastAsia="仿宋_GB2312"/>
          <w:sz w:val="32"/>
          <w:szCs w:val="32"/>
        </w:rPr>
        <w:t>万元，主要用于开展工作所需公务用车的燃料费、维修费、过路过桥费、保险费、安全奖励费用等支出。公务用车购置费预算数比2021年增加</w:t>
      </w:r>
      <w:r>
        <w:rPr>
          <w:rFonts w:hint="eastAsia" w:ascii="Times New Roman" w:hAnsi="Times New Roman" w:eastAsia="仿宋_GB2312"/>
          <w:sz w:val="32"/>
          <w:szCs w:val="32"/>
        </w:rPr>
        <w:t>0</w:t>
      </w:r>
      <w:r>
        <w:rPr>
          <w:rFonts w:ascii="Times New Roman" w:hAnsi="Times New Roman" w:eastAsia="仿宋_GB2312"/>
          <w:sz w:val="32"/>
          <w:szCs w:val="32"/>
        </w:rPr>
        <w:t>万元。公务用车运行维护费预算数比2021年增加</w:t>
      </w:r>
      <w:r>
        <w:rPr>
          <w:rFonts w:hint="eastAsia" w:ascii="Times New Roman" w:hAnsi="Times New Roman" w:eastAsia="仿宋_GB2312"/>
          <w:sz w:val="32"/>
          <w:szCs w:val="32"/>
        </w:rPr>
        <w:t>0</w:t>
      </w:r>
      <w:r>
        <w:rPr>
          <w:rFonts w:ascii="Times New Roman" w:hAnsi="Times New Roman" w:eastAsia="仿宋_GB2312"/>
          <w:sz w:val="32"/>
          <w:szCs w:val="32"/>
        </w:rPr>
        <w:t>万元。</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八、政府性基金支出预算情况说明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伊川县档案馆</w:t>
      </w:r>
      <w:r>
        <w:rPr>
          <w:rFonts w:ascii="Times New Roman" w:hAnsi="Times New Roman" w:eastAsia="仿宋_GB2312"/>
          <w:sz w:val="32"/>
          <w:szCs w:val="32"/>
        </w:rPr>
        <w:t>2022年无政府性基金预算拨款安排的支出。</w:t>
      </w:r>
    </w:p>
    <w:p>
      <w:pPr>
        <w:overflowPunct w:val="0"/>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九、国有资本经营预算支出预算情况说明</w:t>
      </w:r>
    </w:p>
    <w:p>
      <w:pPr>
        <w:overflowPunct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伊川县档案馆</w:t>
      </w:r>
      <w:r>
        <w:rPr>
          <w:rFonts w:ascii="Times New Roman" w:hAnsi="Times New Roman" w:eastAsia="仿宋_GB2312"/>
          <w:sz w:val="32"/>
          <w:szCs w:val="32"/>
        </w:rPr>
        <w:t>2022年无国有资本经营预算拨款安排的支出。</w:t>
      </w:r>
    </w:p>
    <w:p>
      <w:pPr>
        <w:kinsoku w:val="0"/>
        <w:overflowPunct w:val="0"/>
        <w:autoSpaceDE w:val="0"/>
        <w:autoSpaceDN w:val="0"/>
        <w:adjustRightInd w:val="0"/>
        <w:snapToGrid w:val="0"/>
        <w:spacing w:line="600" w:lineRule="exact"/>
        <w:ind w:firstLine="636" w:firstLineChars="200"/>
        <w:rPr>
          <w:rFonts w:ascii="Times New Roman" w:hAnsi="Times New Roman" w:eastAsia="仿宋_GB2312"/>
          <w:sz w:val="32"/>
          <w:szCs w:val="32"/>
          <w:highlight w:val="red"/>
        </w:rPr>
      </w:pPr>
      <w:r>
        <w:rPr>
          <w:rFonts w:ascii="Times New Roman" w:hAnsi="Times New Roman" w:eastAsia="黑体"/>
          <w:spacing w:val="-1"/>
          <w:kern w:val="0"/>
          <w:sz w:val="32"/>
          <w:szCs w:val="32"/>
        </w:rPr>
        <w:t>十、其他重要事项情况说明</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仿宋_GB2312"/>
          <w:b/>
          <w:kern w:val="0"/>
          <w:sz w:val="32"/>
          <w:szCs w:val="32"/>
        </w:rPr>
        <w:t>（一）行政（事业）单位机构运行经费支出预算情况</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伊川县档案馆</w:t>
      </w:r>
      <w:r>
        <w:rPr>
          <w:rFonts w:ascii="Times New Roman" w:hAnsi="Times New Roman" w:eastAsia="仿宋_GB2312"/>
          <w:sz w:val="32"/>
          <w:szCs w:val="32"/>
        </w:rPr>
        <w:t>2022年机构运行经费支出预算</w:t>
      </w:r>
      <w:r>
        <w:rPr>
          <w:rFonts w:hint="eastAsia" w:ascii="Times New Roman" w:hAnsi="Times New Roman" w:eastAsia="仿宋_GB2312"/>
          <w:sz w:val="32"/>
          <w:szCs w:val="32"/>
        </w:rPr>
        <w:t>9.05</w:t>
      </w:r>
      <w:r>
        <w:rPr>
          <w:rFonts w:ascii="Times New Roman" w:hAnsi="Times New Roman" w:eastAsia="仿宋_GB2312"/>
          <w:sz w:val="32"/>
          <w:szCs w:val="32"/>
        </w:rPr>
        <w:t>万元，主要保障机构正常运转及正常履职需要所需支出，包含公用经费、公务交通补贴、工会经费、职工福利费</w:t>
      </w:r>
      <w:r>
        <w:rPr>
          <w:rFonts w:hint="eastAsia" w:ascii="Times New Roman" w:hAnsi="Times New Roman" w:eastAsia="仿宋_GB2312"/>
          <w:sz w:val="32"/>
          <w:szCs w:val="32"/>
        </w:rPr>
        <w:t>等。与2021年相比，机构运行经费增加5.78，增长176.76%。主要原因是公用经费增加。</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（二）政府采购支出预算情况</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2022年政府采购预算安排</w:t>
      </w:r>
      <w:r>
        <w:rPr>
          <w:rFonts w:hint="eastAsia" w:ascii="Times New Roman" w:hAnsi="Times New Roman" w:eastAsia="仿宋_GB2312"/>
          <w:sz w:val="32"/>
          <w:szCs w:val="32"/>
        </w:rPr>
        <w:t>0</w:t>
      </w:r>
      <w:r>
        <w:rPr>
          <w:rFonts w:ascii="Times New Roman" w:hAnsi="Times New Roman" w:eastAsia="仿宋_GB2312"/>
          <w:sz w:val="32"/>
          <w:szCs w:val="32"/>
        </w:rPr>
        <w:t>万元，其中：政府采购货物预算</w:t>
      </w:r>
      <w:r>
        <w:rPr>
          <w:rFonts w:hint="eastAsia" w:ascii="Times New Roman" w:hAnsi="Times New Roman" w:eastAsia="仿宋_GB2312"/>
          <w:sz w:val="32"/>
          <w:szCs w:val="32"/>
        </w:rPr>
        <w:t>0</w:t>
      </w:r>
      <w:r>
        <w:rPr>
          <w:rFonts w:ascii="Times New Roman" w:hAnsi="Times New Roman" w:eastAsia="仿宋_GB2312"/>
          <w:sz w:val="32"/>
          <w:szCs w:val="32"/>
        </w:rPr>
        <w:t>万元、政府采购工程预算</w:t>
      </w:r>
      <w:r>
        <w:rPr>
          <w:rFonts w:hint="eastAsia" w:ascii="Times New Roman" w:hAnsi="Times New Roman" w:eastAsia="仿宋_GB2312"/>
          <w:sz w:val="32"/>
          <w:szCs w:val="32"/>
        </w:rPr>
        <w:t>0</w:t>
      </w:r>
      <w:r>
        <w:rPr>
          <w:rFonts w:ascii="Times New Roman" w:hAnsi="Times New Roman" w:eastAsia="仿宋_GB2312"/>
          <w:sz w:val="32"/>
          <w:szCs w:val="32"/>
        </w:rPr>
        <w:t>万元、政府采购服务预算</w:t>
      </w:r>
      <w:r>
        <w:rPr>
          <w:rFonts w:hint="eastAsia" w:ascii="Times New Roman" w:hAnsi="Times New Roman" w:eastAsia="仿宋_GB2312"/>
          <w:sz w:val="32"/>
          <w:szCs w:val="32"/>
        </w:rPr>
        <w:t>0</w:t>
      </w:r>
      <w:r>
        <w:rPr>
          <w:rFonts w:ascii="Times New Roman" w:hAnsi="Times New Roman" w:eastAsia="仿宋_GB2312"/>
          <w:sz w:val="32"/>
          <w:szCs w:val="32"/>
        </w:rPr>
        <w:t>万元。</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（三）绩效目标设置情况</w:t>
      </w:r>
    </w:p>
    <w:p>
      <w:pPr>
        <w:kinsoku w:val="0"/>
        <w:overflowPunct w:val="0"/>
        <w:autoSpaceDE w:val="0"/>
        <w:autoSpaceDN w:val="0"/>
        <w:adjustRightInd w:val="0"/>
        <w:snapToGrid w:val="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伊川县档案馆</w:t>
      </w:r>
      <w:r>
        <w:rPr>
          <w:rFonts w:ascii="Times New Roman" w:hAnsi="Times New Roman" w:eastAsia="仿宋_GB2312"/>
          <w:sz w:val="32"/>
          <w:szCs w:val="32"/>
        </w:rPr>
        <w:t>2022年预算项目均按要求编制了绩效目标，从项目产出、项目效益、满意度等方面设置了绩效指标，综合反映项目预期完成的数量、实效、质量，预期达到的社会经济效益、可持续影响以及服务对象满意度等情况。</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（四）国有资产占用情况</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2021年期末，</w:t>
      </w:r>
      <w:r>
        <w:rPr>
          <w:rFonts w:hint="eastAsia" w:ascii="Times New Roman" w:hAnsi="Times New Roman" w:eastAsia="仿宋_GB2312"/>
          <w:sz w:val="32"/>
          <w:szCs w:val="32"/>
        </w:rPr>
        <w:t>伊川县档案馆</w:t>
      </w:r>
      <w:r>
        <w:rPr>
          <w:rFonts w:ascii="Times New Roman" w:hAnsi="Times New Roman" w:eastAsia="仿宋_GB2312"/>
          <w:sz w:val="32"/>
          <w:szCs w:val="32"/>
        </w:rPr>
        <w:t>共有车辆</w:t>
      </w:r>
      <w:r>
        <w:rPr>
          <w:rFonts w:hint="eastAsia" w:ascii="Times New Roman" w:hAnsi="Times New Roman" w:eastAsia="仿宋_GB2312"/>
          <w:sz w:val="32"/>
          <w:szCs w:val="32"/>
        </w:rPr>
        <w:t>0</w:t>
      </w:r>
      <w:r>
        <w:rPr>
          <w:rFonts w:ascii="Times New Roman" w:hAnsi="Times New Roman" w:eastAsia="仿宋_GB2312"/>
          <w:sz w:val="32"/>
          <w:szCs w:val="32"/>
        </w:rPr>
        <w:t>辆，其中：一般公务用车</w:t>
      </w:r>
      <w:r>
        <w:rPr>
          <w:rFonts w:hint="eastAsia" w:ascii="Times New Roman" w:hAnsi="Times New Roman" w:eastAsia="仿宋_GB2312"/>
          <w:sz w:val="32"/>
          <w:szCs w:val="32"/>
        </w:rPr>
        <w:t>0</w:t>
      </w:r>
      <w:r>
        <w:rPr>
          <w:rFonts w:ascii="Times New Roman" w:hAnsi="Times New Roman" w:eastAsia="仿宋_GB2312"/>
          <w:sz w:val="32"/>
          <w:szCs w:val="32"/>
        </w:rPr>
        <w:t>辆、一般执法执勤用车</w:t>
      </w:r>
      <w:r>
        <w:rPr>
          <w:rFonts w:hint="eastAsia" w:ascii="Times New Roman" w:hAnsi="Times New Roman" w:eastAsia="仿宋_GB2312"/>
          <w:sz w:val="32"/>
          <w:szCs w:val="32"/>
        </w:rPr>
        <w:t>0</w:t>
      </w:r>
      <w:r>
        <w:rPr>
          <w:rFonts w:ascii="Times New Roman" w:hAnsi="Times New Roman" w:eastAsia="仿宋_GB2312"/>
          <w:sz w:val="32"/>
          <w:szCs w:val="32"/>
        </w:rPr>
        <w:t>辆、特种专业技术用车</w:t>
      </w:r>
      <w:r>
        <w:rPr>
          <w:rFonts w:hint="eastAsia" w:ascii="Times New Roman" w:hAnsi="Times New Roman" w:eastAsia="仿宋_GB2312"/>
          <w:sz w:val="32"/>
          <w:szCs w:val="32"/>
        </w:rPr>
        <w:t>0</w:t>
      </w:r>
      <w:r>
        <w:rPr>
          <w:rFonts w:ascii="Times New Roman" w:hAnsi="Times New Roman" w:eastAsia="仿宋_GB2312"/>
          <w:sz w:val="32"/>
          <w:szCs w:val="32"/>
        </w:rPr>
        <w:t>辆，其他用车</w:t>
      </w:r>
      <w:r>
        <w:rPr>
          <w:rFonts w:hint="eastAsia" w:ascii="Times New Roman" w:hAnsi="Times New Roman" w:eastAsia="仿宋_GB2312"/>
          <w:sz w:val="32"/>
          <w:szCs w:val="32"/>
        </w:rPr>
        <w:t>0</w:t>
      </w:r>
      <w:r>
        <w:rPr>
          <w:rFonts w:ascii="Times New Roman" w:hAnsi="Times New Roman" w:eastAsia="仿宋_GB2312"/>
          <w:sz w:val="32"/>
          <w:szCs w:val="32"/>
        </w:rPr>
        <w:t>辆，单位价值50万元以上通用设备</w:t>
      </w:r>
      <w:r>
        <w:rPr>
          <w:rFonts w:hint="eastAsia" w:ascii="Times New Roman" w:hAnsi="Times New Roman" w:eastAsia="仿宋_GB2312"/>
          <w:sz w:val="32"/>
          <w:szCs w:val="32"/>
        </w:rPr>
        <w:t>0</w:t>
      </w:r>
      <w:r>
        <w:rPr>
          <w:rFonts w:ascii="Times New Roman" w:hAnsi="Times New Roman" w:eastAsia="仿宋_GB2312"/>
          <w:sz w:val="32"/>
          <w:szCs w:val="32"/>
        </w:rPr>
        <w:t>套，单位价值100万元以上专用设备</w:t>
      </w:r>
      <w:r>
        <w:rPr>
          <w:rFonts w:hint="eastAsia" w:ascii="Times New Roman" w:hAnsi="Times New Roman" w:eastAsia="仿宋_GB2312"/>
          <w:sz w:val="32"/>
          <w:szCs w:val="32"/>
        </w:rPr>
        <w:t>0</w:t>
      </w:r>
      <w:r>
        <w:rPr>
          <w:rFonts w:ascii="Times New Roman" w:hAnsi="Times New Roman" w:eastAsia="仿宋_GB2312"/>
          <w:sz w:val="32"/>
          <w:szCs w:val="32"/>
        </w:rPr>
        <w:t>套。</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（五）专项转移支付项目情况</w:t>
      </w:r>
    </w:p>
    <w:p>
      <w:pPr>
        <w:kinsoku w:val="0"/>
        <w:overflowPunct w:val="0"/>
        <w:autoSpaceDE w:val="0"/>
        <w:autoSpaceDN w:val="0"/>
        <w:adjustRightInd w:val="0"/>
        <w:snapToGrid w:val="0"/>
        <w:spacing w:line="600" w:lineRule="exact"/>
        <w:ind w:firstLine="640" w:firstLineChars="200"/>
        <w:rPr>
          <w:rFonts w:ascii="Times New Roman" w:hAnsi="Times New Roman" w:eastAsia="黑体"/>
          <w:sz w:val="36"/>
          <w:szCs w:val="36"/>
        </w:rPr>
      </w:pPr>
      <w:r>
        <w:rPr>
          <w:rFonts w:hint="eastAsia" w:ascii="Times New Roman" w:hAnsi="Times New Roman" w:eastAsia="仿宋_GB2312"/>
          <w:sz w:val="32"/>
          <w:szCs w:val="32"/>
        </w:rPr>
        <w:t>伊川县档案馆</w:t>
      </w:r>
      <w:r>
        <w:rPr>
          <w:rFonts w:ascii="Times New Roman" w:hAnsi="Times New Roman" w:eastAsia="仿宋_GB2312"/>
          <w:sz w:val="32"/>
          <w:szCs w:val="32"/>
        </w:rPr>
        <w:t>2022年无负责管理的专项转移支付项目。</w:t>
      </w:r>
    </w:p>
    <w:p>
      <w:pPr>
        <w:kinsoku w:val="0"/>
        <w:overflowPunct w:val="0"/>
        <w:autoSpaceDE w:val="0"/>
        <w:autoSpaceDN w:val="0"/>
        <w:adjustRightInd w:val="0"/>
        <w:snapToGrid w:val="0"/>
        <w:spacing w:line="600" w:lineRule="exact"/>
        <w:jc w:val="center"/>
        <w:rPr>
          <w:rFonts w:ascii="Times New Roman" w:hAnsi="Times New Roman" w:eastAsia="黑体"/>
          <w:sz w:val="36"/>
          <w:szCs w:val="36"/>
        </w:rPr>
      </w:pPr>
    </w:p>
    <w:p>
      <w:pPr>
        <w:kinsoku w:val="0"/>
        <w:overflowPunct w:val="0"/>
        <w:autoSpaceDE w:val="0"/>
        <w:autoSpaceDN w:val="0"/>
        <w:adjustRightInd w:val="0"/>
        <w:snapToGrid w:val="0"/>
        <w:spacing w:line="600" w:lineRule="exact"/>
        <w:jc w:val="center"/>
        <w:rPr>
          <w:rFonts w:ascii="Times New Roman" w:hAnsi="Times New Roman" w:eastAsia="黑体"/>
          <w:sz w:val="36"/>
          <w:szCs w:val="36"/>
        </w:rPr>
      </w:pPr>
    </w:p>
    <w:p>
      <w:pPr>
        <w:kinsoku w:val="0"/>
        <w:overflowPunct w:val="0"/>
        <w:autoSpaceDE w:val="0"/>
        <w:autoSpaceDN w:val="0"/>
        <w:adjustRightInd w:val="0"/>
        <w:snapToGrid w:val="0"/>
        <w:spacing w:line="600" w:lineRule="exact"/>
        <w:jc w:val="center"/>
        <w:rPr>
          <w:rFonts w:ascii="Times New Roman" w:hAnsi="Times New Roman" w:eastAsia="黑体"/>
          <w:sz w:val="36"/>
          <w:szCs w:val="36"/>
        </w:rPr>
      </w:pPr>
    </w:p>
    <w:p>
      <w:pPr>
        <w:kinsoku w:val="0"/>
        <w:overflowPunct w:val="0"/>
        <w:autoSpaceDE w:val="0"/>
        <w:autoSpaceDN w:val="0"/>
        <w:adjustRightInd w:val="0"/>
        <w:snapToGrid w:val="0"/>
        <w:spacing w:line="600" w:lineRule="exact"/>
        <w:jc w:val="center"/>
        <w:rPr>
          <w:rFonts w:ascii="Times New Roman" w:hAnsi="Times New Roman" w:eastAsia="黑体"/>
          <w:sz w:val="36"/>
          <w:szCs w:val="36"/>
        </w:rPr>
      </w:pPr>
    </w:p>
    <w:p>
      <w:pPr>
        <w:kinsoku w:val="0"/>
        <w:overflowPunct w:val="0"/>
        <w:autoSpaceDE w:val="0"/>
        <w:autoSpaceDN w:val="0"/>
        <w:adjustRightInd w:val="0"/>
        <w:snapToGrid w:val="0"/>
        <w:spacing w:line="600" w:lineRule="exact"/>
        <w:jc w:val="center"/>
        <w:rPr>
          <w:rFonts w:ascii="Times New Roman" w:hAnsi="Times New Roman" w:eastAsia="黑体"/>
          <w:sz w:val="36"/>
          <w:szCs w:val="36"/>
        </w:rPr>
      </w:pPr>
    </w:p>
    <w:p>
      <w:pPr>
        <w:kinsoku w:val="0"/>
        <w:overflowPunct w:val="0"/>
        <w:autoSpaceDE w:val="0"/>
        <w:autoSpaceDN w:val="0"/>
        <w:adjustRightInd w:val="0"/>
        <w:snapToGrid w:val="0"/>
        <w:spacing w:line="600" w:lineRule="exact"/>
        <w:jc w:val="center"/>
        <w:rPr>
          <w:rFonts w:ascii="Times New Roman" w:hAnsi="Times New Roman" w:eastAsia="黑体"/>
          <w:sz w:val="36"/>
          <w:szCs w:val="36"/>
        </w:rPr>
      </w:pPr>
    </w:p>
    <w:p>
      <w:pPr>
        <w:kinsoku w:val="0"/>
        <w:overflowPunct w:val="0"/>
        <w:autoSpaceDE w:val="0"/>
        <w:autoSpaceDN w:val="0"/>
        <w:adjustRightInd w:val="0"/>
        <w:snapToGrid w:val="0"/>
        <w:spacing w:line="600" w:lineRule="exact"/>
        <w:jc w:val="center"/>
        <w:rPr>
          <w:rFonts w:ascii="Times New Roman" w:hAnsi="Times New Roman" w:eastAsia="黑体"/>
          <w:sz w:val="36"/>
          <w:szCs w:val="36"/>
        </w:rPr>
      </w:pPr>
    </w:p>
    <w:p>
      <w:pPr>
        <w:kinsoku w:val="0"/>
        <w:overflowPunct w:val="0"/>
        <w:autoSpaceDE w:val="0"/>
        <w:autoSpaceDN w:val="0"/>
        <w:adjustRightInd w:val="0"/>
        <w:snapToGrid w:val="0"/>
        <w:spacing w:line="600" w:lineRule="exact"/>
        <w:jc w:val="center"/>
        <w:rPr>
          <w:rFonts w:ascii="Times New Roman" w:hAnsi="Times New Roman" w:eastAsia="黑体"/>
          <w:sz w:val="36"/>
          <w:szCs w:val="36"/>
        </w:rPr>
      </w:pPr>
    </w:p>
    <w:p>
      <w:pPr>
        <w:kinsoku w:val="0"/>
        <w:overflowPunct w:val="0"/>
        <w:autoSpaceDE w:val="0"/>
        <w:autoSpaceDN w:val="0"/>
        <w:adjustRightInd w:val="0"/>
        <w:snapToGrid w:val="0"/>
        <w:spacing w:line="600" w:lineRule="exact"/>
        <w:jc w:val="center"/>
        <w:rPr>
          <w:rFonts w:ascii="Times New Roman" w:hAnsi="Times New Roman" w:eastAsia="黑体"/>
          <w:sz w:val="36"/>
          <w:szCs w:val="36"/>
        </w:rPr>
      </w:pPr>
    </w:p>
    <w:p>
      <w:pPr>
        <w:kinsoku w:val="0"/>
        <w:overflowPunct w:val="0"/>
        <w:autoSpaceDE w:val="0"/>
        <w:autoSpaceDN w:val="0"/>
        <w:adjustRightInd w:val="0"/>
        <w:snapToGrid w:val="0"/>
        <w:spacing w:line="600" w:lineRule="exact"/>
        <w:jc w:val="center"/>
        <w:rPr>
          <w:rFonts w:ascii="Times New Roman" w:hAnsi="Times New Roman" w:eastAsia="黑体"/>
          <w:sz w:val="36"/>
          <w:szCs w:val="36"/>
        </w:rPr>
      </w:pPr>
    </w:p>
    <w:p>
      <w:pPr>
        <w:kinsoku w:val="0"/>
        <w:overflowPunct w:val="0"/>
        <w:autoSpaceDE w:val="0"/>
        <w:autoSpaceDN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b/>
          <w:bCs/>
          <w:sz w:val="32"/>
          <w:szCs w:val="32"/>
        </w:rPr>
      </w:pPr>
    </w:p>
    <w:p>
      <w:pPr>
        <w:overflowPunct w:val="0"/>
        <w:adjustRightInd w:val="0"/>
        <w:snapToGrid w:val="0"/>
        <w:spacing w:line="600" w:lineRule="exact"/>
        <w:jc w:val="center"/>
        <w:rPr>
          <w:rFonts w:ascii="Times New Roman" w:hAnsi="Times New Roman"/>
          <w:b/>
          <w:bCs/>
          <w:sz w:val="32"/>
          <w:szCs w:val="32"/>
        </w:rPr>
      </w:pPr>
    </w:p>
    <w:p>
      <w:pPr>
        <w:overflowPunct w:val="0"/>
        <w:adjustRightInd w:val="0"/>
        <w:snapToGrid w:val="0"/>
        <w:spacing w:line="600" w:lineRule="exact"/>
        <w:jc w:val="center"/>
        <w:rPr>
          <w:rFonts w:ascii="Times New Roman" w:hAnsi="Times New Roman"/>
          <w:b/>
          <w:bCs/>
          <w:sz w:val="32"/>
          <w:szCs w:val="32"/>
        </w:rPr>
      </w:pPr>
    </w:p>
    <w:p>
      <w:pPr>
        <w:overflowPunct w:val="0"/>
        <w:adjustRightInd w:val="0"/>
        <w:snapToGrid w:val="0"/>
        <w:spacing w:line="600" w:lineRule="exact"/>
        <w:jc w:val="center"/>
        <w:rPr>
          <w:rFonts w:ascii="Times New Roman" w:hAnsi="Times New Roman"/>
          <w:b/>
          <w:bCs/>
          <w:sz w:val="32"/>
          <w:szCs w:val="32"/>
        </w:rPr>
      </w:pPr>
    </w:p>
    <w:p>
      <w:pPr>
        <w:overflowPunct w:val="0"/>
        <w:adjustRightInd w:val="0"/>
        <w:snapToGrid w:val="0"/>
        <w:spacing w:line="600" w:lineRule="exact"/>
        <w:jc w:val="center"/>
        <w:rPr>
          <w:rFonts w:ascii="Times New Roman" w:hAnsi="Times New Roman"/>
          <w:b/>
          <w:bCs/>
          <w:sz w:val="32"/>
          <w:szCs w:val="32"/>
        </w:rPr>
      </w:pPr>
    </w:p>
    <w:p>
      <w:pPr>
        <w:overflowPunct w:val="0"/>
        <w:adjustRightInd w:val="0"/>
        <w:snapToGrid w:val="0"/>
        <w:spacing w:line="600" w:lineRule="exact"/>
        <w:jc w:val="center"/>
        <w:rPr>
          <w:rFonts w:ascii="Times New Roman" w:hAnsi="Times New Roman"/>
          <w:b/>
          <w:bCs/>
          <w:sz w:val="32"/>
          <w:szCs w:val="32"/>
        </w:rPr>
      </w:pPr>
    </w:p>
    <w:p>
      <w:pPr>
        <w:overflowPunct w:val="0"/>
        <w:adjustRightInd w:val="0"/>
        <w:snapToGrid w:val="0"/>
        <w:spacing w:line="600" w:lineRule="exact"/>
        <w:jc w:val="center"/>
        <w:rPr>
          <w:rFonts w:ascii="Times New Roman" w:hAnsi="Times New Roman"/>
          <w:b/>
          <w:bCs/>
          <w:sz w:val="32"/>
          <w:szCs w:val="32"/>
        </w:rPr>
      </w:pPr>
    </w:p>
    <w:p>
      <w:pPr>
        <w:overflowPunct w:val="0"/>
        <w:adjustRightInd w:val="0"/>
        <w:snapToGrid w:val="0"/>
        <w:spacing w:line="600" w:lineRule="exact"/>
        <w:jc w:val="center"/>
        <w:rPr>
          <w:rFonts w:ascii="Times New Roman" w:hAnsi="Times New Roman"/>
          <w:b/>
          <w:bCs/>
          <w:sz w:val="32"/>
          <w:szCs w:val="32"/>
        </w:rPr>
      </w:pPr>
    </w:p>
    <w:p>
      <w:pPr>
        <w:kinsoku w:val="0"/>
        <w:overflowPunct w:val="0"/>
        <w:autoSpaceDE w:val="0"/>
        <w:autoSpaceDN w:val="0"/>
        <w:adjustRightInd w:val="0"/>
        <w:snapToGrid w:val="0"/>
        <w:spacing w:line="600" w:lineRule="exact"/>
        <w:rPr>
          <w:rFonts w:ascii="Times New Roman" w:hAnsi="Times New Roman"/>
          <w:b/>
          <w:bCs/>
          <w:sz w:val="32"/>
          <w:szCs w:val="32"/>
        </w:rPr>
      </w:pPr>
    </w:p>
    <w:p>
      <w:pPr>
        <w:kinsoku w:val="0"/>
        <w:overflowPunct w:val="0"/>
        <w:autoSpaceDE w:val="0"/>
        <w:autoSpaceDN w:val="0"/>
        <w:adjustRightInd w:val="0"/>
        <w:snapToGrid w:val="0"/>
        <w:spacing w:line="600" w:lineRule="exact"/>
        <w:rPr>
          <w:rFonts w:ascii="Times New Roman" w:hAnsi="Times New Roman"/>
          <w:b/>
          <w:bCs/>
          <w:sz w:val="32"/>
          <w:szCs w:val="32"/>
        </w:rPr>
      </w:pPr>
    </w:p>
    <w:p>
      <w:pPr>
        <w:kinsoku w:val="0"/>
        <w:overflowPunct w:val="0"/>
        <w:autoSpaceDE w:val="0"/>
        <w:autoSpaceDN w:val="0"/>
        <w:adjustRightInd w:val="0"/>
        <w:snapToGrid w:val="0"/>
        <w:spacing w:line="600" w:lineRule="exact"/>
        <w:jc w:val="center"/>
        <w:rPr>
          <w:rFonts w:ascii="Times New Roman" w:hAnsi="Times New Roman" w:eastAsia="黑体"/>
          <w:sz w:val="36"/>
          <w:szCs w:val="36"/>
        </w:rPr>
      </w:pPr>
      <w:r>
        <w:rPr>
          <w:rFonts w:ascii="Times New Roman" w:hAnsi="Times New Roman" w:eastAsia="黑体"/>
          <w:sz w:val="36"/>
          <w:szCs w:val="36"/>
        </w:rPr>
        <w:t>第三部分</w:t>
      </w:r>
    </w:p>
    <w:p>
      <w:pPr>
        <w:overflowPunct w:val="0"/>
        <w:adjustRightInd w:val="0"/>
        <w:snapToGrid w:val="0"/>
        <w:spacing w:line="600" w:lineRule="exact"/>
        <w:jc w:val="center"/>
        <w:rPr>
          <w:rFonts w:ascii="Times New Roman" w:hAnsi="Times New Roman"/>
          <w:b/>
          <w:bCs/>
          <w:sz w:val="32"/>
          <w:szCs w:val="32"/>
        </w:rPr>
      </w:pPr>
      <w:r>
        <w:rPr>
          <w:rFonts w:ascii="Times New Roman" w:hAnsi="Times New Roman"/>
          <w:b/>
          <w:bCs/>
          <w:sz w:val="32"/>
          <w:szCs w:val="32"/>
        </w:rPr>
        <w:t>名词解释</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一、财政拨款收入：是指同级财政拨付的资金：包括一般公共预算拨款、政府性基金预算拨款、国有资本经营预算拨款。</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二、事业收入：是指事业单位开展专业活动及辅助活动所取得的收入。</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三、其他收入：是指</w:t>
      </w:r>
      <w:r>
        <w:rPr>
          <w:rFonts w:hint="eastAsia" w:ascii="Times New Roman" w:hAnsi="Times New Roman" w:eastAsia="仿宋_GB2312"/>
          <w:sz w:val="32"/>
          <w:szCs w:val="32"/>
        </w:rPr>
        <w:t>单位</w:t>
      </w:r>
      <w:r>
        <w:rPr>
          <w:rFonts w:ascii="Times New Roman" w:hAnsi="Times New Roman" w:eastAsia="仿宋_GB2312"/>
          <w:sz w:val="32"/>
          <w:szCs w:val="32"/>
        </w:rPr>
        <w:t>取得的除“财政拨款”、“事业收入”、“事业单位经营收入”等以外的收入。</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五、基本支出：是指为保障机构正常运转、完成日常工作任务所必需的开支，其内容包括人员经费和日常公用经费两部分。</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七、“三公”经费：是指纳入同级财政预算管理，</w:t>
      </w:r>
      <w:r>
        <w:rPr>
          <w:rFonts w:hint="eastAsia" w:ascii="Times New Roman" w:hAnsi="Times New Roman" w:eastAsia="仿宋_GB2312"/>
          <w:sz w:val="32"/>
          <w:szCs w:val="32"/>
        </w:rPr>
        <w:t>单位</w:t>
      </w:r>
      <w:r>
        <w:rPr>
          <w:rFonts w:ascii="Times New Roman" w:hAnsi="Times New Roman" w:eastAsia="仿宋_GB2312"/>
          <w:sz w:val="32"/>
          <w:szCs w:val="32"/>
        </w:rPr>
        <w:t>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八、行政（事业）单位机构运行经费：是指为保障行政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overflowPunct w:val="0"/>
        <w:adjustRightInd w:val="0"/>
        <w:snapToGrid w:val="0"/>
        <w:spacing w:line="600" w:lineRule="exact"/>
        <w:rPr>
          <w:rFonts w:ascii="Times New Roman" w:hAnsi="Times New Roman" w:eastAsia="黑体"/>
          <w:sz w:val="32"/>
          <w:szCs w:val="32"/>
        </w:rPr>
      </w:pPr>
    </w:p>
    <w:p>
      <w:pPr>
        <w:overflowPunct w:val="0"/>
        <w:adjustRightInd w:val="0"/>
        <w:snapToGrid w:val="0"/>
        <w:spacing w:line="600" w:lineRule="exact"/>
        <w:rPr>
          <w:rFonts w:ascii="Times New Roman" w:hAnsi="Times New Roman" w:eastAsia="仿宋_GB2312"/>
          <w:sz w:val="32"/>
          <w:szCs w:val="32"/>
        </w:rPr>
      </w:pPr>
      <w:bookmarkStart w:id="0" w:name="_GoBack"/>
      <w:bookmarkEnd w:id="0"/>
    </w:p>
    <w:p>
      <w:pPr>
        <w:overflowPunct w:val="0"/>
        <w:adjustRightInd w:val="0"/>
        <w:snapToGrid w:val="0"/>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附件：2022年</w:t>
      </w:r>
      <w:r>
        <w:rPr>
          <w:rFonts w:hint="eastAsia" w:ascii="Times New Roman" w:hAnsi="Times New Roman" w:eastAsia="仿宋_GB2312"/>
          <w:b/>
          <w:bCs/>
          <w:sz w:val="32"/>
          <w:szCs w:val="32"/>
        </w:rPr>
        <w:t>伊川县档案馆部门预算表</w:t>
      </w:r>
    </w:p>
    <w:p>
      <w:pPr>
        <w:rPr>
          <w:b/>
          <w:bCs/>
        </w:rPr>
        <w:sectPr>
          <w:footerReference r:id="rId3" w:type="default"/>
          <w:pgSz w:w="11906" w:h="16838"/>
          <w:pgMar w:top="1984" w:right="1531" w:bottom="1417" w:left="1531" w:header="851" w:footer="992" w:gutter="0"/>
          <w:pgNumType w:fmt="numberInDash"/>
          <w:cols w:space="425" w:num="1"/>
          <w:docGrid w:type="lines" w:linePitch="312" w:charSpace="0"/>
        </w:sectPr>
      </w:pPr>
    </w:p>
    <w:tbl>
      <w:tblPr>
        <w:tblStyle w:val="4"/>
        <w:tblW w:w="10459" w:type="dxa"/>
        <w:tblInd w:w="93" w:type="dxa"/>
        <w:tblLayout w:type="autofit"/>
        <w:tblCellMar>
          <w:top w:w="0" w:type="dxa"/>
          <w:left w:w="108" w:type="dxa"/>
          <w:bottom w:w="0" w:type="dxa"/>
          <w:right w:w="108" w:type="dxa"/>
        </w:tblCellMar>
      </w:tblPr>
      <w:tblGrid>
        <w:gridCol w:w="2981"/>
        <w:gridCol w:w="1499"/>
        <w:gridCol w:w="2981"/>
        <w:gridCol w:w="1499"/>
        <w:gridCol w:w="1499"/>
      </w:tblGrid>
      <w:tr>
        <w:tblPrEx>
          <w:tblCellMar>
            <w:top w:w="0" w:type="dxa"/>
            <w:left w:w="108" w:type="dxa"/>
            <w:bottom w:w="0" w:type="dxa"/>
            <w:right w:w="108" w:type="dxa"/>
          </w:tblCellMar>
        </w:tblPrEx>
        <w:trPr>
          <w:gridAfter w:val="1"/>
          <w:wAfter w:w="1499" w:type="dxa"/>
          <w:trHeight w:val="302" w:hRule="atLeast"/>
        </w:trPr>
        <w:tc>
          <w:tcPr>
            <w:tcW w:w="8960" w:type="dxa"/>
            <w:gridSpan w:val="4"/>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预算01表</w:t>
            </w:r>
          </w:p>
        </w:tc>
      </w:tr>
      <w:tr>
        <w:tblPrEx>
          <w:tblCellMar>
            <w:top w:w="0" w:type="dxa"/>
            <w:left w:w="108" w:type="dxa"/>
            <w:bottom w:w="0" w:type="dxa"/>
            <w:right w:w="108" w:type="dxa"/>
          </w:tblCellMar>
        </w:tblPrEx>
        <w:trPr>
          <w:gridAfter w:val="1"/>
          <w:wAfter w:w="1499" w:type="dxa"/>
          <w:trHeight w:val="604" w:hRule="atLeast"/>
        </w:trPr>
        <w:tc>
          <w:tcPr>
            <w:tcW w:w="8960" w:type="dxa"/>
            <w:gridSpan w:val="4"/>
            <w:tcBorders>
              <w:top w:val="nil"/>
              <w:left w:val="nil"/>
              <w:bottom w:val="nil"/>
              <w:right w:val="nil"/>
            </w:tcBorders>
            <w:vAlign w:val="center"/>
          </w:tcPr>
          <w:p>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rPr>
              <w:t>2022年部门收支预算表</w:t>
            </w:r>
          </w:p>
        </w:tc>
      </w:tr>
      <w:tr>
        <w:tblPrEx>
          <w:tblCellMar>
            <w:top w:w="0" w:type="dxa"/>
            <w:left w:w="108" w:type="dxa"/>
            <w:bottom w:w="0" w:type="dxa"/>
            <w:right w:w="108" w:type="dxa"/>
          </w:tblCellMar>
        </w:tblPrEx>
        <w:trPr>
          <w:gridAfter w:val="1"/>
          <w:wAfter w:w="1499" w:type="dxa"/>
          <w:trHeight w:val="302" w:hRule="atLeast"/>
        </w:trPr>
        <w:tc>
          <w:tcPr>
            <w:tcW w:w="2981" w:type="dxa"/>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4480" w:type="dxa"/>
            <w:gridSpan w:val="2"/>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w:t>
            </w:r>
            <w:r>
              <w:rPr>
                <w:rFonts w:hint="eastAsia" w:ascii="宋体" w:hAnsi="宋体" w:cs="宋体"/>
                <w:color w:val="000000"/>
                <w:kern w:val="0"/>
                <w:sz w:val="18"/>
                <w:szCs w:val="18"/>
              </w:rPr>
              <w:t>档案馆</w:t>
            </w:r>
          </w:p>
        </w:tc>
        <w:tc>
          <w:tcPr>
            <w:tcW w:w="1499" w:type="dxa"/>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0" w:type="dxa"/>
            <w:left w:w="108" w:type="dxa"/>
            <w:bottom w:w="0" w:type="dxa"/>
            <w:right w:w="108" w:type="dxa"/>
          </w:tblCellMar>
        </w:tblPrEx>
        <w:trPr>
          <w:gridAfter w:val="1"/>
          <w:wAfter w:w="1499" w:type="dxa"/>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收入</w:t>
            </w:r>
          </w:p>
        </w:tc>
        <w:tc>
          <w:tcPr>
            <w:tcW w:w="44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支出</w:t>
            </w:r>
          </w:p>
        </w:tc>
      </w:tr>
      <w:tr>
        <w:tblPrEx>
          <w:tblCellMar>
            <w:top w:w="0" w:type="dxa"/>
            <w:left w:w="108" w:type="dxa"/>
            <w:bottom w:w="0" w:type="dxa"/>
            <w:right w:w="108" w:type="dxa"/>
          </w:tblCellMar>
        </w:tblPrEx>
        <w:trPr>
          <w:gridAfter w:val="1"/>
          <w:wAfter w:w="1499" w:type="dxa"/>
          <w:trHeight w:val="312"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项目  </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金额  </w:t>
            </w: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项目  </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金额</w:t>
            </w:r>
          </w:p>
        </w:tc>
      </w:tr>
      <w:tr>
        <w:tblPrEx>
          <w:tblCellMar>
            <w:top w:w="0" w:type="dxa"/>
            <w:left w:w="108" w:type="dxa"/>
            <w:bottom w:w="0" w:type="dxa"/>
            <w:right w:w="108" w:type="dxa"/>
          </w:tblCellMar>
        </w:tblPrEx>
        <w:trPr>
          <w:gridAfter w:val="1"/>
          <w:wAfter w:w="1499" w:type="dxa"/>
          <w:trHeight w:val="312"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一、一般公共预算</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100.69</w:t>
            </w:r>
          </w:p>
        </w:tc>
      </w:tr>
      <w:tr>
        <w:tblPrEx>
          <w:tblCellMar>
            <w:top w:w="0" w:type="dxa"/>
            <w:left w:w="108" w:type="dxa"/>
            <w:bottom w:w="0" w:type="dxa"/>
            <w:right w:w="108" w:type="dxa"/>
          </w:tblCellMar>
        </w:tblPrEx>
        <w:trPr>
          <w:gridAfter w:val="1"/>
          <w:wAfter w:w="1499" w:type="dxa"/>
          <w:trHeight w:val="312"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其中：财政拨款</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二、外交</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1499" w:type="dxa"/>
          <w:trHeight w:val="312"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二、政府性基金预算拨款收入</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三、国防</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1499" w:type="dxa"/>
          <w:trHeight w:val="312"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三、国有资本经营预算拨款收入</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四、公共安全</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1499" w:type="dxa"/>
          <w:trHeight w:val="312"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四、财政专户管理资金收入</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五、教育</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1499" w:type="dxa"/>
          <w:trHeight w:val="312"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五、事业收入</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六、科学技术</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1499" w:type="dxa"/>
          <w:trHeight w:val="312"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六、事业单位经营收入</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七、文化旅游体育与传媒</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1499" w:type="dxa"/>
          <w:trHeight w:val="312"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七、上级补助收入</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八、社会保障和就业</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15.18</w:t>
            </w:r>
          </w:p>
        </w:tc>
      </w:tr>
      <w:tr>
        <w:tblPrEx>
          <w:tblCellMar>
            <w:top w:w="0" w:type="dxa"/>
            <w:left w:w="108" w:type="dxa"/>
            <w:bottom w:w="0" w:type="dxa"/>
            <w:right w:w="108" w:type="dxa"/>
          </w:tblCellMar>
        </w:tblPrEx>
        <w:trPr>
          <w:gridAfter w:val="1"/>
          <w:wAfter w:w="1499" w:type="dxa"/>
          <w:trHeight w:val="312"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八、附属单位上缴收入</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九、社会保险基金支出</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1499" w:type="dxa"/>
          <w:trHeight w:val="312"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九、其他收入</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十、卫生健康</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6.81</w:t>
            </w: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十一、节能环保</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十二、城乡社区事务</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十三、农林水事务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499" w:type="dxa"/>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59</w:t>
            </w: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十四、交通运输</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十五、资源勘探信息等</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十六、商业服务业等</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十七、金融支出</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十九、援助其他地区支出</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二十、自然资源海洋气象等支出</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二十一、住房保障支出</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二十二、粮油物资储备支出</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二十三、国有资本经营预算</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二十四、灾害防治及应急管理</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二十七、预备费</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二十九、其他支出</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三十、转移性支出</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三十一、债务还本支出</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三十二、债务付息支出</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三十三、债务发行费用支出</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4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三十四、抗疫特别国债安排的支出</w:t>
            </w:r>
          </w:p>
        </w:tc>
        <w:tc>
          <w:tcPr>
            <w:tcW w:w="149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499" w:type="dxa"/>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gridAfter w:val="1"/>
          <w:wAfter w:w="1499" w:type="dxa"/>
          <w:trHeight w:val="312"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本 年 收 入 合 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122.68</w:t>
            </w: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本 年 支 出 合 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r>
      <w:tr>
        <w:tblPrEx>
          <w:tblCellMar>
            <w:top w:w="0" w:type="dxa"/>
            <w:left w:w="108" w:type="dxa"/>
            <w:bottom w:w="0" w:type="dxa"/>
            <w:right w:w="108" w:type="dxa"/>
          </w:tblCellMar>
        </w:tblPrEx>
        <w:trPr>
          <w:gridAfter w:val="1"/>
          <w:wAfter w:w="1499" w:type="dxa"/>
          <w:trHeight w:val="312"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上年结转结余</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年终结转结余</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1499" w:type="dxa"/>
          <w:trHeight w:val="321" w:hRule="atLeast"/>
        </w:trPr>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收 入 总 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122.68</w:t>
            </w:r>
          </w:p>
        </w:tc>
        <w:tc>
          <w:tcPr>
            <w:tcW w:w="2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支 出 总 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r>
    </w:tbl>
    <w:p>
      <w:pPr>
        <w:sectPr>
          <w:pgSz w:w="11906" w:h="16838"/>
          <w:pgMar w:top="1440" w:right="1800" w:bottom="1440" w:left="1800" w:header="851" w:footer="992" w:gutter="0"/>
          <w:pgNumType w:fmt="numberInDash"/>
          <w:cols w:space="425" w:num="1"/>
          <w:docGrid w:type="lines" w:linePitch="312" w:charSpace="0"/>
        </w:sectPr>
      </w:pPr>
    </w:p>
    <w:tbl>
      <w:tblPr>
        <w:tblStyle w:val="4"/>
        <w:tblpPr w:leftFromText="180" w:rightFromText="180" w:vertAnchor="text" w:horzAnchor="page" w:tblpX="714" w:tblpY="307"/>
        <w:tblOverlap w:val="never"/>
        <w:tblW w:w="15680" w:type="dxa"/>
        <w:tblInd w:w="0" w:type="dxa"/>
        <w:tblLayout w:type="autofit"/>
        <w:tblCellMar>
          <w:top w:w="0" w:type="dxa"/>
          <w:left w:w="108" w:type="dxa"/>
          <w:bottom w:w="0" w:type="dxa"/>
          <w:right w:w="108" w:type="dxa"/>
        </w:tblCellMar>
      </w:tblPr>
      <w:tblGrid>
        <w:gridCol w:w="1077"/>
        <w:gridCol w:w="1649"/>
        <w:gridCol w:w="846"/>
        <w:gridCol w:w="846"/>
        <w:gridCol w:w="885"/>
        <w:gridCol w:w="885"/>
        <w:gridCol w:w="532"/>
        <w:gridCol w:w="659"/>
        <w:gridCol w:w="659"/>
        <w:gridCol w:w="462"/>
        <w:gridCol w:w="659"/>
        <w:gridCol w:w="659"/>
        <w:gridCol w:w="659"/>
        <w:gridCol w:w="510"/>
        <w:gridCol w:w="868"/>
        <w:gridCol w:w="1008"/>
        <w:gridCol w:w="589"/>
        <w:gridCol w:w="589"/>
        <w:gridCol w:w="593"/>
        <w:gridCol w:w="1046"/>
      </w:tblGrid>
      <w:tr>
        <w:tblPrEx>
          <w:tblCellMar>
            <w:top w:w="0" w:type="dxa"/>
            <w:left w:w="108" w:type="dxa"/>
            <w:bottom w:w="0" w:type="dxa"/>
            <w:right w:w="108" w:type="dxa"/>
          </w:tblCellMar>
        </w:tblPrEx>
        <w:trPr>
          <w:trHeight w:val="285" w:hRule="atLeast"/>
        </w:trPr>
        <w:tc>
          <w:tcPr>
            <w:tcW w:w="15680" w:type="dxa"/>
            <w:gridSpan w:val="20"/>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预算02表</w:t>
            </w:r>
          </w:p>
        </w:tc>
      </w:tr>
      <w:tr>
        <w:tblPrEx>
          <w:tblCellMar>
            <w:top w:w="0" w:type="dxa"/>
            <w:left w:w="108" w:type="dxa"/>
            <w:bottom w:w="0" w:type="dxa"/>
            <w:right w:w="108" w:type="dxa"/>
          </w:tblCellMar>
        </w:tblPrEx>
        <w:trPr>
          <w:trHeight w:val="570" w:hRule="atLeast"/>
        </w:trPr>
        <w:tc>
          <w:tcPr>
            <w:tcW w:w="15680" w:type="dxa"/>
            <w:gridSpan w:val="20"/>
            <w:tcBorders>
              <w:top w:val="nil"/>
              <w:left w:val="nil"/>
              <w:bottom w:val="nil"/>
              <w:right w:val="nil"/>
            </w:tcBorders>
            <w:vAlign w:val="center"/>
          </w:tcPr>
          <w:p>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rPr>
              <w:t>2022年部门收入预算表</w:t>
            </w:r>
          </w:p>
        </w:tc>
      </w:tr>
      <w:tr>
        <w:tblPrEx>
          <w:tblCellMar>
            <w:top w:w="0" w:type="dxa"/>
            <w:left w:w="108" w:type="dxa"/>
            <w:bottom w:w="0" w:type="dxa"/>
            <w:right w:w="108" w:type="dxa"/>
          </w:tblCellMar>
        </w:tblPrEx>
        <w:trPr>
          <w:trHeight w:val="285" w:hRule="atLeast"/>
        </w:trPr>
        <w:tc>
          <w:tcPr>
            <w:tcW w:w="1077" w:type="dxa"/>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13557" w:type="dxa"/>
            <w:gridSpan w:val="18"/>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w:t>
            </w:r>
            <w:r>
              <w:rPr>
                <w:rFonts w:hint="eastAsia" w:ascii="宋体" w:hAnsi="宋体" w:cs="宋体"/>
                <w:color w:val="000000"/>
                <w:kern w:val="0"/>
                <w:sz w:val="18"/>
                <w:szCs w:val="18"/>
              </w:rPr>
              <w:t>档案馆</w:t>
            </w:r>
          </w:p>
        </w:tc>
        <w:tc>
          <w:tcPr>
            <w:tcW w:w="1046" w:type="dxa"/>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0" w:type="dxa"/>
            <w:left w:w="108" w:type="dxa"/>
            <w:bottom w:w="0" w:type="dxa"/>
            <w:right w:w="108" w:type="dxa"/>
          </w:tblCellMar>
        </w:tblPrEx>
        <w:trPr>
          <w:trHeight w:val="285" w:hRule="atLeast"/>
        </w:trPr>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部门（单位）代码</w:t>
            </w:r>
          </w:p>
        </w:tc>
        <w:tc>
          <w:tcPr>
            <w:tcW w:w="16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部门（单位）名称</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总计</w:t>
            </w:r>
          </w:p>
        </w:tc>
        <w:tc>
          <w:tcPr>
            <w:tcW w:w="7415"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本年收入</w:t>
            </w:r>
          </w:p>
        </w:tc>
        <w:tc>
          <w:tcPr>
            <w:tcW w:w="469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上年结转结余</w:t>
            </w:r>
          </w:p>
        </w:tc>
      </w:tr>
      <w:tr>
        <w:tblPrEx>
          <w:tblCellMar>
            <w:top w:w="0" w:type="dxa"/>
            <w:left w:w="108" w:type="dxa"/>
            <w:bottom w:w="0" w:type="dxa"/>
            <w:right w:w="108" w:type="dxa"/>
          </w:tblCellMar>
        </w:tblPrEx>
        <w:trPr>
          <w:trHeight w:val="285" w:hRule="atLeast"/>
        </w:trPr>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7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一般公共预算</w:t>
            </w:r>
          </w:p>
        </w:tc>
        <w:tc>
          <w:tcPr>
            <w:tcW w:w="5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政府性基金</w:t>
            </w:r>
          </w:p>
        </w:tc>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国有资本经营预算</w:t>
            </w:r>
          </w:p>
        </w:tc>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财政专户管理资金收入</w:t>
            </w:r>
          </w:p>
        </w:tc>
        <w:tc>
          <w:tcPr>
            <w:tcW w:w="4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事业收入</w:t>
            </w:r>
          </w:p>
        </w:tc>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事业单位经营收入</w:t>
            </w:r>
          </w:p>
        </w:tc>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上级补助收入</w:t>
            </w:r>
          </w:p>
        </w:tc>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附属单位上缴收入</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其他收入  </w:t>
            </w:r>
          </w:p>
        </w:tc>
        <w:tc>
          <w:tcPr>
            <w:tcW w:w="8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一般公共预算</w:t>
            </w:r>
          </w:p>
        </w:tc>
        <w:tc>
          <w:tcPr>
            <w:tcW w:w="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政府性基金</w:t>
            </w:r>
          </w:p>
        </w:tc>
        <w:tc>
          <w:tcPr>
            <w:tcW w:w="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国有资本经营预算</w:t>
            </w:r>
          </w:p>
        </w:tc>
        <w:tc>
          <w:tcPr>
            <w:tcW w:w="5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r>
      <w:tr>
        <w:tblPrEx>
          <w:tblCellMar>
            <w:top w:w="0" w:type="dxa"/>
            <w:left w:w="108" w:type="dxa"/>
            <w:bottom w:w="0" w:type="dxa"/>
            <w:right w:w="108" w:type="dxa"/>
          </w:tblCellMar>
        </w:tblPrEx>
        <w:trPr>
          <w:trHeight w:val="454" w:hRule="atLeast"/>
        </w:trPr>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6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其中：财政拨款</w:t>
            </w:r>
          </w:p>
        </w:tc>
        <w:tc>
          <w:tcPr>
            <w:tcW w:w="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5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202001</w:t>
            </w:r>
          </w:p>
        </w:tc>
        <w:tc>
          <w:tcPr>
            <w:tcW w:w="164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伊川县档案馆</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5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5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70" w:type="dxa"/>
        <w:tblInd w:w="93" w:type="dxa"/>
        <w:tblLayout w:type="autofit"/>
        <w:tblCellMar>
          <w:top w:w="0" w:type="dxa"/>
          <w:left w:w="108" w:type="dxa"/>
          <w:bottom w:w="0" w:type="dxa"/>
          <w:right w:w="108" w:type="dxa"/>
        </w:tblCellMar>
      </w:tblPr>
      <w:tblGrid>
        <w:gridCol w:w="495"/>
        <w:gridCol w:w="495"/>
        <w:gridCol w:w="495"/>
        <w:gridCol w:w="1065"/>
        <w:gridCol w:w="2852"/>
        <w:gridCol w:w="1134"/>
        <w:gridCol w:w="919"/>
        <w:gridCol w:w="1275"/>
        <w:gridCol w:w="1245"/>
        <w:gridCol w:w="1170"/>
        <w:gridCol w:w="840"/>
        <w:gridCol w:w="795"/>
        <w:gridCol w:w="780"/>
        <w:gridCol w:w="1110"/>
      </w:tblGrid>
      <w:tr>
        <w:tblPrEx>
          <w:tblCellMar>
            <w:top w:w="0" w:type="dxa"/>
            <w:left w:w="108" w:type="dxa"/>
            <w:bottom w:w="0" w:type="dxa"/>
            <w:right w:w="108" w:type="dxa"/>
          </w:tblCellMar>
        </w:tblPrEx>
        <w:trPr>
          <w:trHeight w:val="285" w:hRule="atLeast"/>
        </w:trPr>
        <w:tc>
          <w:tcPr>
            <w:tcW w:w="14670" w:type="dxa"/>
            <w:gridSpan w:val="14"/>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预算03表</w:t>
            </w:r>
          </w:p>
        </w:tc>
      </w:tr>
      <w:tr>
        <w:tblPrEx>
          <w:tblCellMar>
            <w:top w:w="0" w:type="dxa"/>
            <w:left w:w="108" w:type="dxa"/>
            <w:bottom w:w="0" w:type="dxa"/>
            <w:right w:w="108" w:type="dxa"/>
          </w:tblCellMar>
        </w:tblPrEx>
        <w:trPr>
          <w:trHeight w:val="570" w:hRule="atLeast"/>
        </w:trPr>
        <w:tc>
          <w:tcPr>
            <w:tcW w:w="14670" w:type="dxa"/>
            <w:gridSpan w:val="14"/>
            <w:tcBorders>
              <w:top w:val="nil"/>
              <w:left w:val="nil"/>
              <w:bottom w:val="nil"/>
              <w:right w:val="nil"/>
            </w:tcBorders>
            <w:vAlign w:val="center"/>
          </w:tcPr>
          <w:p>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rPr>
              <w:t>2022年部门支出预算表</w:t>
            </w:r>
          </w:p>
        </w:tc>
      </w:tr>
      <w:tr>
        <w:tblPrEx>
          <w:tblCellMar>
            <w:top w:w="0" w:type="dxa"/>
            <w:left w:w="108" w:type="dxa"/>
            <w:bottom w:w="0" w:type="dxa"/>
            <w:right w:w="108" w:type="dxa"/>
          </w:tblCellMar>
        </w:tblPrEx>
        <w:trPr>
          <w:trHeight w:val="285" w:hRule="atLeast"/>
        </w:trPr>
        <w:tc>
          <w:tcPr>
            <w:tcW w:w="1485" w:type="dxa"/>
            <w:gridSpan w:val="3"/>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12075" w:type="dxa"/>
            <w:gridSpan w:val="10"/>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w:t>
            </w:r>
            <w:r>
              <w:rPr>
                <w:rFonts w:hint="eastAsia" w:ascii="宋体" w:hAnsi="宋体" w:cs="宋体"/>
                <w:color w:val="000000"/>
                <w:kern w:val="0"/>
                <w:sz w:val="18"/>
                <w:szCs w:val="18"/>
              </w:rPr>
              <w:t>档案馆</w:t>
            </w:r>
          </w:p>
        </w:tc>
        <w:tc>
          <w:tcPr>
            <w:tcW w:w="1110" w:type="dxa"/>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0" w:type="dxa"/>
            <w:left w:w="108" w:type="dxa"/>
            <w:bottom w:w="0" w:type="dxa"/>
            <w:right w:w="108" w:type="dxa"/>
          </w:tblCellMar>
        </w:tblPrEx>
        <w:trPr>
          <w:trHeight w:val="285" w:hRule="atLeast"/>
        </w:trPr>
        <w:tc>
          <w:tcPr>
            <w:tcW w:w="148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科目编码</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单位代码</w:t>
            </w:r>
          </w:p>
        </w:tc>
        <w:tc>
          <w:tcPr>
            <w:tcW w:w="28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单位（科目名称）</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449"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基本支出  </w:t>
            </w:r>
          </w:p>
        </w:tc>
        <w:tc>
          <w:tcPr>
            <w:tcW w:w="26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项目支出</w:t>
            </w:r>
          </w:p>
        </w:tc>
      </w:tr>
      <w:tr>
        <w:tblPrEx>
          <w:tblCellMar>
            <w:top w:w="0" w:type="dxa"/>
            <w:left w:w="108" w:type="dxa"/>
            <w:bottom w:w="0" w:type="dxa"/>
            <w:right w:w="108" w:type="dxa"/>
          </w:tblCellMar>
        </w:tblPrEx>
        <w:trPr>
          <w:trHeight w:val="285" w:hRule="atLeast"/>
        </w:trPr>
        <w:tc>
          <w:tcPr>
            <w:tcW w:w="148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8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人员经费</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公用经费</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特定目标类</w:t>
            </w:r>
          </w:p>
        </w:tc>
      </w:tr>
      <w:tr>
        <w:tblPrEx>
          <w:tblCellMar>
            <w:top w:w="0" w:type="dxa"/>
            <w:left w:w="108" w:type="dxa"/>
            <w:bottom w:w="0" w:type="dxa"/>
            <w:right w:w="108" w:type="dxa"/>
          </w:tblCellMar>
        </w:tblPrEx>
        <w:trPr>
          <w:trHeight w:val="679"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类</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款</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w:t>
            </w: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8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对个人和家庭的补助</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资本性支出</w:t>
            </w: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5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101.68</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88.89</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9.05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202001</w:t>
            </w:r>
          </w:p>
        </w:tc>
        <w:tc>
          <w:tcPr>
            <w:tcW w:w="285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伊川县档案馆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101.68</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88.89</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9.05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26</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04</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5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档案馆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100.69</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70.64</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9.05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71"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05</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02</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5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事业单位离退休</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3.74</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3.74</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05</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05</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5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11.44</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11.44</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2"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210</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11</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02</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5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事业单位医疗</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6.59</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6.59</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210</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11</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99</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5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其他行政事业单位医疗支出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0.22</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100" w:type="dxa"/>
        <w:tblInd w:w="93" w:type="dxa"/>
        <w:tblLayout w:type="autofit"/>
        <w:tblCellMar>
          <w:top w:w="0" w:type="dxa"/>
          <w:left w:w="108" w:type="dxa"/>
          <w:bottom w:w="0" w:type="dxa"/>
          <w:right w:w="108" w:type="dxa"/>
        </w:tblCellMar>
      </w:tblPr>
      <w:tblGrid>
        <w:gridCol w:w="2294"/>
        <w:gridCol w:w="131"/>
        <w:gridCol w:w="1134"/>
        <w:gridCol w:w="2955"/>
        <w:gridCol w:w="1298"/>
        <w:gridCol w:w="1315"/>
        <w:gridCol w:w="1274"/>
        <w:gridCol w:w="907"/>
        <w:gridCol w:w="473"/>
        <w:gridCol w:w="2319"/>
      </w:tblGrid>
      <w:tr>
        <w:tblPrEx>
          <w:tblCellMar>
            <w:top w:w="0" w:type="dxa"/>
            <w:left w:w="108" w:type="dxa"/>
            <w:bottom w:w="0" w:type="dxa"/>
            <w:right w:w="108" w:type="dxa"/>
          </w:tblCellMar>
        </w:tblPrEx>
        <w:trPr>
          <w:trHeight w:val="309" w:hRule="atLeast"/>
        </w:trPr>
        <w:tc>
          <w:tcPr>
            <w:tcW w:w="14100" w:type="dxa"/>
            <w:gridSpan w:val="10"/>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预算04表</w:t>
            </w:r>
          </w:p>
        </w:tc>
      </w:tr>
      <w:tr>
        <w:tblPrEx>
          <w:tblCellMar>
            <w:top w:w="0" w:type="dxa"/>
            <w:left w:w="108" w:type="dxa"/>
            <w:bottom w:w="0" w:type="dxa"/>
            <w:right w:w="108" w:type="dxa"/>
          </w:tblCellMar>
        </w:tblPrEx>
        <w:trPr>
          <w:trHeight w:val="618" w:hRule="atLeast"/>
        </w:trPr>
        <w:tc>
          <w:tcPr>
            <w:tcW w:w="14100" w:type="dxa"/>
            <w:gridSpan w:val="10"/>
            <w:tcBorders>
              <w:top w:val="nil"/>
              <w:left w:val="nil"/>
              <w:bottom w:val="nil"/>
              <w:right w:val="nil"/>
            </w:tcBorders>
            <w:vAlign w:val="center"/>
          </w:tcPr>
          <w:p>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rPr>
              <w:t>2022年财政拨款收支预算表</w:t>
            </w:r>
          </w:p>
        </w:tc>
      </w:tr>
      <w:tr>
        <w:tblPrEx>
          <w:tblCellMar>
            <w:top w:w="0" w:type="dxa"/>
            <w:left w:w="108" w:type="dxa"/>
            <w:bottom w:w="0" w:type="dxa"/>
            <w:right w:w="108" w:type="dxa"/>
          </w:tblCellMar>
        </w:tblPrEx>
        <w:trPr>
          <w:trHeight w:val="309" w:hRule="atLeast"/>
        </w:trPr>
        <w:tc>
          <w:tcPr>
            <w:tcW w:w="2294" w:type="dxa"/>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9014" w:type="dxa"/>
            <w:gridSpan w:val="7"/>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w:t>
            </w:r>
            <w:r>
              <w:rPr>
                <w:rFonts w:hint="eastAsia" w:ascii="宋体" w:hAnsi="宋体" w:cs="宋体"/>
                <w:color w:val="000000"/>
                <w:kern w:val="0"/>
                <w:sz w:val="18"/>
                <w:szCs w:val="18"/>
              </w:rPr>
              <w:t>档案馆</w:t>
            </w:r>
          </w:p>
        </w:tc>
        <w:tc>
          <w:tcPr>
            <w:tcW w:w="2792" w:type="dxa"/>
            <w:gridSpan w:val="2"/>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0" w:type="dxa"/>
            <w:left w:w="108" w:type="dxa"/>
            <w:bottom w:w="0" w:type="dxa"/>
            <w:right w:w="108" w:type="dxa"/>
          </w:tblCellMar>
        </w:tblPrEx>
        <w:trPr>
          <w:trHeight w:val="319" w:hRule="atLeast"/>
        </w:trPr>
        <w:tc>
          <w:tcPr>
            <w:tcW w:w="3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收入  </w:t>
            </w:r>
          </w:p>
        </w:tc>
        <w:tc>
          <w:tcPr>
            <w:tcW w:w="1054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支出  </w:t>
            </w:r>
          </w:p>
        </w:tc>
      </w:tr>
      <w:tr>
        <w:tblPrEx>
          <w:tblCellMar>
            <w:top w:w="0" w:type="dxa"/>
            <w:left w:w="108" w:type="dxa"/>
            <w:bottom w:w="0" w:type="dxa"/>
            <w:right w:w="108" w:type="dxa"/>
          </w:tblCellMar>
        </w:tblPrEx>
        <w:trPr>
          <w:trHeight w:val="319" w:hRule="atLeast"/>
        </w:trPr>
        <w:tc>
          <w:tcPr>
            <w:tcW w:w="24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项 目  </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金　额</w:t>
            </w:r>
          </w:p>
        </w:tc>
        <w:tc>
          <w:tcPr>
            <w:tcW w:w="29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项 目  </w:t>
            </w:r>
          </w:p>
        </w:tc>
        <w:tc>
          <w:tcPr>
            <w:tcW w:w="12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25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一般公共预算  </w:t>
            </w:r>
          </w:p>
        </w:tc>
        <w:tc>
          <w:tcPr>
            <w:tcW w:w="138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政府性基金  </w:t>
            </w:r>
          </w:p>
        </w:tc>
        <w:tc>
          <w:tcPr>
            <w:tcW w:w="23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国有资本经营预算</w:t>
            </w:r>
          </w:p>
        </w:tc>
      </w:tr>
      <w:tr>
        <w:tblPrEx>
          <w:tblCellMar>
            <w:top w:w="0" w:type="dxa"/>
            <w:left w:w="108" w:type="dxa"/>
            <w:bottom w:w="0" w:type="dxa"/>
            <w:right w:w="108" w:type="dxa"/>
          </w:tblCellMar>
        </w:tblPrEx>
        <w:trPr>
          <w:trHeight w:val="628" w:hRule="atLeast"/>
        </w:trPr>
        <w:tc>
          <w:tcPr>
            <w:tcW w:w="2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2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小计  </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其中：财政拨款</w:t>
            </w:r>
          </w:p>
        </w:tc>
        <w:tc>
          <w:tcPr>
            <w:tcW w:w="13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一、本年收入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一、本年支出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（一）一般公共预算拨款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（一）一般公共服务支出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100.69</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100.69</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100.69</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其中：财政拨款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（二）外交支出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（二）政府性基金预算拨款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（三）国防支出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28"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（三）国有资本经营预算拨款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（四）公共安全支出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二、上年结转</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（五）教育支出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（一）一般公共预算拨款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（六）科学技术支出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（二）政府性基金预算拨款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（七）文化体育旅游与传媒支出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28"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（三）国有资本经营预算拨款</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（八）社会保障和就业支出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15.18</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15.18</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15.18</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（九）医疗卫生与计划生育支出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（十）卫生健康支出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6.81</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6.81</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6.81</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（十一）节能环保支出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（十二）城乡社区事务支出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（十三）农林水事务支出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（十四）交通运输支出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（十五）资源勘探信息等支出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（十六）商业服务业等支出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（十七）金融支出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（十九）援助其他地区支出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（二十）自然资源海洋气象等支出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（二十一）住房保障支出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（二十二）粮油物资储备支出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（二十三）国有资本经营预算</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（二十四）灾害防治及应急管理</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（二十七）预备费</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（二十九）其他支出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（三十）转移性支出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（三十一）债务还本支出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（三十二）债务付息支出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（三十三）债务发行费用支出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（三十四）抗疫特别国债安排的支出</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二、年终结转结余</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36" w:hRule="atLeast"/>
        </w:trPr>
        <w:tc>
          <w:tcPr>
            <w:tcW w:w="2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收入合计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122.68</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支出合计</w:t>
            </w:r>
          </w:p>
        </w:tc>
        <w:tc>
          <w:tcPr>
            <w:tcW w:w="129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122.68</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122.68</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122.68</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580" w:type="dxa"/>
        <w:tblInd w:w="93" w:type="dxa"/>
        <w:tblLayout w:type="autofit"/>
        <w:tblCellMar>
          <w:top w:w="0" w:type="dxa"/>
          <w:left w:w="108" w:type="dxa"/>
          <w:bottom w:w="0" w:type="dxa"/>
          <w:right w:w="108" w:type="dxa"/>
        </w:tblCellMar>
      </w:tblPr>
      <w:tblGrid>
        <w:gridCol w:w="582"/>
        <w:gridCol w:w="554"/>
        <w:gridCol w:w="668"/>
        <w:gridCol w:w="1046"/>
        <w:gridCol w:w="2577"/>
        <w:gridCol w:w="1293"/>
        <w:gridCol w:w="952"/>
        <w:gridCol w:w="1108"/>
        <w:gridCol w:w="838"/>
        <w:gridCol w:w="810"/>
        <w:gridCol w:w="825"/>
        <w:gridCol w:w="1108"/>
        <w:gridCol w:w="1109"/>
        <w:gridCol w:w="1110"/>
      </w:tblGrid>
      <w:tr>
        <w:tblPrEx>
          <w:tblCellMar>
            <w:top w:w="0" w:type="dxa"/>
            <w:left w:w="108" w:type="dxa"/>
            <w:bottom w:w="0" w:type="dxa"/>
            <w:right w:w="108" w:type="dxa"/>
          </w:tblCellMar>
        </w:tblPrEx>
        <w:trPr>
          <w:trHeight w:val="285" w:hRule="atLeast"/>
        </w:trPr>
        <w:tc>
          <w:tcPr>
            <w:tcW w:w="14580" w:type="dxa"/>
            <w:gridSpan w:val="14"/>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预算05表</w:t>
            </w:r>
          </w:p>
        </w:tc>
      </w:tr>
      <w:tr>
        <w:tblPrEx>
          <w:tblCellMar>
            <w:top w:w="0" w:type="dxa"/>
            <w:left w:w="108" w:type="dxa"/>
            <w:bottom w:w="0" w:type="dxa"/>
            <w:right w:w="108" w:type="dxa"/>
          </w:tblCellMar>
        </w:tblPrEx>
        <w:trPr>
          <w:trHeight w:val="570" w:hRule="atLeast"/>
        </w:trPr>
        <w:tc>
          <w:tcPr>
            <w:tcW w:w="14580" w:type="dxa"/>
            <w:gridSpan w:val="14"/>
            <w:tcBorders>
              <w:top w:val="nil"/>
              <w:left w:val="nil"/>
              <w:bottom w:val="nil"/>
              <w:right w:val="nil"/>
            </w:tcBorders>
            <w:vAlign w:val="center"/>
          </w:tcPr>
          <w:p>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rPr>
              <w:t>2022年一般公共预算支出预算表</w:t>
            </w:r>
          </w:p>
        </w:tc>
      </w:tr>
      <w:tr>
        <w:tblPrEx>
          <w:tblCellMar>
            <w:top w:w="0" w:type="dxa"/>
            <w:left w:w="108" w:type="dxa"/>
            <w:bottom w:w="0" w:type="dxa"/>
            <w:right w:w="108" w:type="dxa"/>
          </w:tblCellMar>
        </w:tblPrEx>
        <w:trPr>
          <w:trHeight w:val="285" w:hRule="atLeast"/>
        </w:trPr>
        <w:tc>
          <w:tcPr>
            <w:tcW w:w="1804" w:type="dxa"/>
            <w:gridSpan w:val="3"/>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部门名称：</w:t>
            </w:r>
          </w:p>
        </w:tc>
        <w:tc>
          <w:tcPr>
            <w:tcW w:w="11666" w:type="dxa"/>
            <w:gridSpan w:val="10"/>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w:t>
            </w:r>
            <w:r>
              <w:rPr>
                <w:rFonts w:hint="eastAsia" w:ascii="宋体" w:hAnsi="宋体" w:cs="宋体"/>
                <w:color w:val="000000"/>
                <w:kern w:val="0"/>
                <w:sz w:val="18"/>
                <w:szCs w:val="18"/>
              </w:rPr>
              <w:t>档案馆</w:t>
            </w:r>
          </w:p>
        </w:tc>
        <w:tc>
          <w:tcPr>
            <w:tcW w:w="1110" w:type="dxa"/>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0" w:type="dxa"/>
            <w:left w:w="108" w:type="dxa"/>
            <w:bottom w:w="0" w:type="dxa"/>
            <w:right w:w="108" w:type="dxa"/>
          </w:tblCellMar>
        </w:tblPrEx>
        <w:trPr>
          <w:trHeight w:val="285" w:hRule="atLeast"/>
        </w:trPr>
        <w:tc>
          <w:tcPr>
            <w:tcW w:w="180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科目编码</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单位代码</w:t>
            </w:r>
          </w:p>
        </w:tc>
        <w:tc>
          <w:tcPr>
            <w:tcW w:w="25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单位（科目名称）</w:t>
            </w:r>
          </w:p>
        </w:tc>
        <w:tc>
          <w:tcPr>
            <w:tcW w:w="12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453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基本支出  </w:t>
            </w:r>
          </w:p>
        </w:tc>
        <w:tc>
          <w:tcPr>
            <w:tcW w:w="332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项目支出</w:t>
            </w:r>
          </w:p>
        </w:tc>
      </w:tr>
      <w:tr>
        <w:tblPrEx>
          <w:tblCellMar>
            <w:top w:w="0" w:type="dxa"/>
            <w:left w:w="108" w:type="dxa"/>
            <w:bottom w:w="0" w:type="dxa"/>
            <w:right w:w="108" w:type="dxa"/>
          </w:tblCellMar>
        </w:tblPrEx>
        <w:trPr>
          <w:trHeight w:val="285" w:hRule="atLeast"/>
        </w:trPr>
        <w:tc>
          <w:tcPr>
            <w:tcW w:w="1804"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5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19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人员经费</w:t>
            </w: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公用经费</w:t>
            </w:r>
          </w:p>
        </w:tc>
        <w:tc>
          <w:tcPr>
            <w:tcW w:w="11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其他运转类</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特定目标类</w:t>
            </w:r>
          </w:p>
        </w:tc>
      </w:tr>
      <w:tr>
        <w:tblPrEx>
          <w:tblCellMar>
            <w:top w:w="0" w:type="dxa"/>
            <w:left w:w="108" w:type="dxa"/>
            <w:bottom w:w="0" w:type="dxa"/>
            <w:right w:w="108" w:type="dxa"/>
          </w:tblCellMar>
        </w:tblPrEx>
        <w:trPr>
          <w:trHeight w:val="67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类</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款</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w:t>
            </w: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5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工资福利支出</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对个人和家庭的补助</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商品和服务支出</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资本性支出</w:t>
            </w: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57"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101.68</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88.89</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3.74</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9.05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589"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202001</w:t>
            </w:r>
          </w:p>
        </w:tc>
        <w:tc>
          <w:tcPr>
            <w:tcW w:w="25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伊川县档案馆</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101.68</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88.89</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3.74</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9.05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518"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26</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04</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档案馆</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100.69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79.69</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70.64</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9.05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05</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02</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事业单位离退休</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3.74</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3.74</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208</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05</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05</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11.44</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11.44</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11.44</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56"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210</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11</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02</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事业单位医疗</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6.59</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6.59</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6.59</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210</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11</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99</w:t>
            </w:r>
          </w:p>
        </w:tc>
        <w:tc>
          <w:tcPr>
            <w:tcW w:w="10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其他行政事业单位医疗支出</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0.22</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0.22</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0.22</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0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2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145" w:type="dxa"/>
        <w:tblInd w:w="93" w:type="dxa"/>
        <w:tblLayout w:type="autofit"/>
        <w:tblCellMar>
          <w:top w:w="0" w:type="dxa"/>
          <w:left w:w="108" w:type="dxa"/>
          <w:bottom w:w="0" w:type="dxa"/>
          <w:right w:w="108" w:type="dxa"/>
        </w:tblCellMar>
      </w:tblPr>
      <w:tblGrid>
        <w:gridCol w:w="1845"/>
        <w:gridCol w:w="2460"/>
        <w:gridCol w:w="1845"/>
        <w:gridCol w:w="2460"/>
        <w:gridCol w:w="1845"/>
        <w:gridCol w:w="1845"/>
        <w:gridCol w:w="1845"/>
      </w:tblGrid>
      <w:tr>
        <w:tblPrEx>
          <w:tblCellMar>
            <w:top w:w="0" w:type="dxa"/>
            <w:left w:w="108" w:type="dxa"/>
            <w:bottom w:w="0" w:type="dxa"/>
            <w:right w:w="108" w:type="dxa"/>
          </w:tblCellMar>
        </w:tblPrEx>
        <w:trPr>
          <w:trHeight w:val="285" w:hRule="atLeast"/>
        </w:trPr>
        <w:tc>
          <w:tcPr>
            <w:tcW w:w="14145" w:type="dxa"/>
            <w:gridSpan w:val="7"/>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预算06表</w:t>
            </w:r>
          </w:p>
        </w:tc>
      </w:tr>
      <w:tr>
        <w:tblPrEx>
          <w:tblCellMar>
            <w:top w:w="0" w:type="dxa"/>
            <w:left w:w="108" w:type="dxa"/>
            <w:bottom w:w="0" w:type="dxa"/>
            <w:right w:w="108" w:type="dxa"/>
          </w:tblCellMar>
        </w:tblPrEx>
        <w:trPr>
          <w:trHeight w:val="570" w:hRule="atLeast"/>
        </w:trPr>
        <w:tc>
          <w:tcPr>
            <w:tcW w:w="14145" w:type="dxa"/>
            <w:gridSpan w:val="7"/>
            <w:tcBorders>
              <w:top w:val="nil"/>
              <w:left w:val="nil"/>
              <w:bottom w:val="nil"/>
              <w:right w:val="nil"/>
            </w:tcBorders>
            <w:vAlign w:val="center"/>
          </w:tcPr>
          <w:p>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rPr>
              <w:t>2022年一般公共预算基本支出预算表</w:t>
            </w:r>
          </w:p>
        </w:tc>
      </w:tr>
      <w:tr>
        <w:tblPrEx>
          <w:tblCellMar>
            <w:top w:w="0" w:type="dxa"/>
            <w:left w:w="108" w:type="dxa"/>
            <w:bottom w:w="0" w:type="dxa"/>
            <w:right w:w="108" w:type="dxa"/>
          </w:tblCellMar>
        </w:tblPrEx>
        <w:trPr>
          <w:trHeight w:val="285" w:hRule="atLeast"/>
        </w:trPr>
        <w:tc>
          <w:tcPr>
            <w:tcW w:w="1845" w:type="dxa"/>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10455" w:type="dxa"/>
            <w:gridSpan w:val="5"/>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w:t>
            </w:r>
            <w:r>
              <w:rPr>
                <w:rFonts w:hint="eastAsia" w:ascii="宋体" w:hAnsi="宋体" w:cs="宋体"/>
                <w:color w:val="000000"/>
                <w:kern w:val="0"/>
                <w:sz w:val="18"/>
                <w:szCs w:val="18"/>
              </w:rPr>
              <w:t>档案馆</w:t>
            </w:r>
          </w:p>
        </w:tc>
        <w:tc>
          <w:tcPr>
            <w:tcW w:w="1845" w:type="dxa"/>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0" w:type="dxa"/>
            <w:left w:w="108" w:type="dxa"/>
            <w:bottom w:w="0" w:type="dxa"/>
            <w:right w:w="108" w:type="dxa"/>
          </w:tblCellMar>
        </w:tblPrEx>
        <w:trPr>
          <w:trHeight w:val="285" w:hRule="atLeast"/>
        </w:trPr>
        <w:tc>
          <w:tcPr>
            <w:tcW w:w="43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部门预算支出经济分类科目</w:t>
            </w:r>
          </w:p>
        </w:tc>
        <w:tc>
          <w:tcPr>
            <w:tcW w:w="43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政府预算支出经济分类科目</w:t>
            </w:r>
          </w:p>
        </w:tc>
        <w:tc>
          <w:tcPr>
            <w:tcW w:w="553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本年一般公共预算基本支出</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科目编码</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科目名称</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科目编码</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科目名称</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人员经费</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公用经费</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101.68</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92.63</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9.05</w:t>
            </w:r>
          </w:p>
        </w:tc>
      </w:tr>
      <w:tr>
        <w:tblPrEx>
          <w:tblCellMar>
            <w:top w:w="0" w:type="dxa"/>
            <w:left w:w="108" w:type="dxa"/>
            <w:bottom w:w="0" w:type="dxa"/>
            <w:right w:w="108" w:type="dxa"/>
          </w:tblCellMar>
        </w:tblPrEx>
        <w:trPr>
          <w:trHeight w:val="90"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30199</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其他工资福利支出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50501</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0.24</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0.24</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30107</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绩效工资</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50501</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3.59</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3.59</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4"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30102</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津贴补贴</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50501</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20.78</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20.78</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30101</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基本工资</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50501</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46.03</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46.03</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30229</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福利费</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50502</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1.07</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1.07</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30228</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工会经费</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50502</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0.78</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0.78</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50502</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7.20</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30399</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其他对个人和家庭的补助</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50999</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其他对个人和家庭补助</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1.12</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1.12</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30302</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退休费</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50905</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离退休费</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2.62</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2.62</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30108</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机关事业单位基本养老保险缴费</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50501</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11.44</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11.44</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30110</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50501</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6.59</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6.59</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30112</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其他社会保障缴费</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50501</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0.22</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0.22</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101.68</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92.63</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9.05</w:t>
            </w:r>
          </w:p>
        </w:tc>
      </w:tr>
      <w:tr>
        <w:tblPrEx>
          <w:tblCellMar>
            <w:top w:w="0" w:type="dxa"/>
            <w:left w:w="108" w:type="dxa"/>
            <w:bottom w:w="0" w:type="dxa"/>
            <w:right w:w="108" w:type="dxa"/>
          </w:tblCellMar>
        </w:tblPrEx>
        <w:trPr>
          <w:trHeight w:val="285" w:hRule="atLeast"/>
        </w:trPr>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30199</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其他工资福利支出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50501</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0.24</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0.24</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pPr w:leftFromText="180" w:rightFromText="180" w:vertAnchor="text" w:horzAnchor="page" w:tblpX="1157" w:tblpY="572"/>
        <w:tblOverlap w:val="never"/>
        <w:tblW w:w="15140" w:type="dxa"/>
        <w:tblInd w:w="0" w:type="dxa"/>
        <w:tblLayout w:type="fixed"/>
        <w:tblCellMar>
          <w:top w:w="0" w:type="dxa"/>
          <w:left w:w="108" w:type="dxa"/>
          <w:bottom w:w="0" w:type="dxa"/>
          <w:right w:w="108" w:type="dxa"/>
        </w:tblCellMar>
      </w:tblPr>
      <w:tblGrid>
        <w:gridCol w:w="817"/>
        <w:gridCol w:w="441"/>
        <w:gridCol w:w="1827"/>
        <w:gridCol w:w="567"/>
        <w:gridCol w:w="567"/>
        <w:gridCol w:w="1985"/>
        <w:gridCol w:w="992"/>
        <w:gridCol w:w="850"/>
        <w:gridCol w:w="851"/>
        <w:gridCol w:w="709"/>
        <w:gridCol w:w="850"/>
        <w:gridCol w:w="768"/>
        <w:gridCol w:w="583"/>
        <w:gridCol w:w="634"/>
        <w:gridCol w:w="567"/>
        <w:gridCol w:w="708"/>
        <w:gridCol w:w="709"/>
        <w:gridCol w:w="715"/>
      </w:tblGrid>
      <w:tr>
        <w:tblPrEx>
          <w:tblCellMar>
            <w:top w:w="0" w:type="dxa"/>
            <w:left w:w="108" w:type="dxa"/>
            <w:bottom w:w="0" w:type="dxa"/>
            <w:right w:w="108" w:type="dxa"/>
          </w:tblCellMar>
        </w:tblPrEx>
        <w:trPr>
          <w:trHeight w:val="90" w:hRule="atLeast"/>
        </w:trPr>
        <w:tc>
          <w:tcPr>
            <w:tcW w:w="15140" w:type="dxa"/>
            <w:gridSpan w:val="18"/>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预算07表</w:t>
            </w:r>
          </w:p>
        </w:tc>
      </w:tr>
      <w:tr>
        <w:tblPrEx>
          <w:tblCellMar>
            <w:top w:w="0" w:type="dxa"/>
            <w:left w:w="108" w:type="dxa"/>
            <w:bottom w:w="0" w:type="dxa"/>
            <w:right w:w="108" w:type="dxa"/>
          </w:tblCellMar>
        </w:tblPrEx>
        <w:trPr>
          <w:trHeight w:val="90" w:hRule="atLeast"/>
        </w:trPr>
        <w:tc>
          <w:tcPr>
            <w:tcW w:w="15140" w:type="dxa"/>
            <w:gridSpan w:val="18"/>
            <w:tcBorders>
              <w:top w:val="nil"/>
              <w:left w:val="nil"/>
              <w:bottom w:val="nil"/>
              <w:right w:val="nil"/>
            </w:tcBorders>
            <w:vAlign w:val="center"/>
          </w:tcPr>
          <w:p>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rPr>
              <w:t>2022年支出经济分类汇总表</w:t>
            </w:r>
          </w:p>
        </w:tc>
      </w:tr>
      <w:tr>
        <w:tblPrEx>
          <w:tblCellMar>
            <w:top w:w="0" w:type="dxa"/>
            <w:left w:w="108" w:type="dxa"/>
            <w:bottom w:w="0" w:type="dxa"/>
            <w:right w:w="108" w:type="dxa"/>
          </w:tblCellMar>
        </w:tblPrEx>
        <w:trPr>
          <w:trHeight w:val="90" w:hRule="atLeast"/>
        </w:trPr>
        <w:tc>
          <w:tcPr>
            <w:tcW w:w="3085" w:type="dxa"/>
            <w:gridSpan w:val="3"/>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部门名称：伊川县</w:t>
            </w:r>
            <w:r>
              <w:rPr>
                <w:rFonts w:hint="eastAsia" w:ascii="宋体" w:hAnsi="宋体" w:cs="宋体"/>
                <w:color w:val="000000"/>
                <w:kern w:val="0"/>
                <w:sz w:val="18"/>
                <w:szCs w:val="18"/>
              </w:rPr>
              <w:t>档案馆</w:t>
            </w:r>
          </w:p>
        </w:tc>
        <w:tc>
          <w:tcPr>
            <w:tcW w:w="11340" w:type="dxa"/>
            <w:gridSpan w:val="14"/>
            <w:tcBorders>
              <w:top w:val="nil"/>
              <w:left w:val="nil"/>
              <w:bottom w:val="nil"/>
              <w:right w:val="nil"/>
            </w:tcBorders>
            <w:vAlign w:val="center"/>
          </w:tcPr>
          <w:p>
            <w:pPr>
              <w:widowControl/>
              <w:ind w:firstLine="10170" w:firstLineChars="5650"/>
              <w:jc w:val="left"/>
              <w:textAlignment w:val="center"/>
              <w:rPr>
                <w:rFonts w:ascii="宋体" w:hAnsi="宋体" w:cs="宋体"/>
                <w:color w:val="000000"/>
                <w:sz w:val="18"/>
                <w:szCs w:val="18"/>
              </w:rPr>
            </w:pPr>
            <w:r>
              <w:rPr>
                <w:rFonts w:hint="eastAsia" w:ascii="宋体" w:hAnsi="宋体" w:cs="宋体"/>
                <w:color w:val="000000"/>
                <w:sz w:val="18"/>
                <w:szCs w:val="18"/>
              </w:rPr>
              <w:t>单位：万元</w:t>
            </w:r>
          </w:p>
        </w:tc>
        <w:tc>
          <w:tcPr>
            <w:tcW w:w="715" w:type="dxa"/>
            <w:tcBorders>
              <w:top w:val="nil"/>
              <w:left w:val="nil"/>
              <w:bottom w:val="nil"/>
              <w:right w:val="nil"/>
            </w:tcBorders>
            <w:vAlign w:val="center"/>
          </w:tcPr>
          <w:p>
            <w:pPr>
              <w:widowControl/>
              <w:ind w:right="90"/>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3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部门预算经济分类  </w:t>
            </w:r>
          </w:p>
        </w:tc>
        <w:tc>
          <w:tcPr>
            <w:tcW w:w="31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政府预算经济分类</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总计</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一般公共预算</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政府性基金</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国有资本经营预算</w:t>
            </w:r>
          </w:p>
        </w:tc>
        <w:tc>
          <w:tcPr>
            <w:tcW w:w="7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上年结转结余</w:t>
            </w:r>
          </w:p>
        </w:tc>
        <w:tc>
          <w:tcPr>
            <w:tcW w:w="5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财政专户管理资金收入</w:t>
            </w:r>
          </w:p>
        </w:tc>
        <w:tc>
          <w:tcPr>
            <w:tcW w:w="6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事业收入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上级补助收入</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附属单位上缴收入</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事业单位经营收入</w:t>
            </w:r>
          </w:p>
        </w:tc>
        <w:tc>
          <w:tcPr>
            <w:tcW w:w="7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其他收入  </w:t>
            </w: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类</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款</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科目名称</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类</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款</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科目名称</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其中：财政拨款</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202001</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伊川县档案馆</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122.68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其他工资福利支出</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工资福利支出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0.24</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绩效工资</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工资福利支出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3.59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3.59</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3.59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津贴补贴</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工资福利支出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20.78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20.78</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20.78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基本工资</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工资福利支出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46.03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46.03</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46.03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福利费</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商品和服务支出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1.07</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1.07</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1.07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工会经费</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商品和服务支出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0.78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0.78</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0.78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1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商品和服务支出</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商品和服务支出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7.20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7.20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7.20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其他工资福利支出</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其他工资福利支出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2.50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维修(护)费</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502</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4.00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4.00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办公费</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502</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4.50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4.50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4.50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差旅费</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502</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1.50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1.50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1.50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其他商品和服务支出</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502</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印刷费</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502</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3.50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3.50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3.50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其他对个人和家庭的补助</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509</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其他对个人和家庭补助</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退休费</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509</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离退休费</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2.62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2.62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2.62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机关事业单位基本养老保险缴费</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工资福利支出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11.44</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11.44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职工基本医疗保险缴费</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工资福利支出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6.59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6.59</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6.59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其他社会保障缴费</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工资福利支出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0.22</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040" w:type="dxa"/>
        <w:tblInd w:w="93" w:type="dxa"/>
        <w:tblLayout w:type="autofit"/>
        <w:tblCellMar>
          <w:top w:w="0" w:type="dxa"/>
          <w:left w:w="108" w:type="dxa"/>
          <w:bottom w:w="0" w:type="dxa"/>
          <w:right w:w="108" w:type="dxa"/>
        </w:tblCellMar>
      </w:tblPr>
      <w:tblGrid>
        <w:gridCol w:w="2340"/>
        <w:gridCol w:w="2340"/>
        <w:gridCol w:w="2340"/>
        <w:gridCol w:w="2340"/>
        <w:gridCol w:w="2340"/>
        <w:gridCol w:w="2340"/>
      </w:tblGrid>
      <w:tr>
        <w:tblPrEx>
          <w:tblCellMar>
            <w:top w:w="0" w:type="dxa"/>
            <w:left w:w="108" w:type="dxa"/>
            <w:bottom w:w="0" w:type="dxa"/>
            <w:right w:w="108" w:type="dxa"/>
          </w:tblCellMar>
        </w:tblPrEx>
        <w:trPr>
          <w:trHeight w:val="285" w:hRule="atLeast"/>
        </w:trPr>
        <w:tc>
          <w:tcPr>
            <w:tcW w:w="14040" w:type="dxa"/>
            <w:gridSpan w:val="6"/>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预算08表</w:t>
            </w:r>
          </w:p>
        </w:tc>
      </w:tr>
      <w:tr>
        <w:tblPrEx>
          <w:tblCellMar>
            <w:top w:w="0" w:type="dxa"/>
            <w:left w:w="108" w:type="dxa"/>
            <w:bottom w:w="0" w:type="dxa"/>
            <w:right w:w="108" w:type="dxa"/>
          </w:tblCellMar>
        </w:tblPrEx>
        <w:trPr>
          <w:trHeight w:val="570" w:hRule="atLeast"/>
        </w:trPr>
        <w:tc>
          <w:tcPr>
            <w:tcW w:w="14040" w:type="dxa"/>
            <w:gridSpan w:val="6"/>
            <w:tcBorders>
              <w:top w:val="nil"/>
              <w:left w:val="nil"/>
              <w:bottom w:val="nil"/>
              <w:right w:val="nil"/>
            </w:tcBorders>
            <w:vAlign w:val="center"/>
          </w:tcPr>
          <w:p>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rPr>
              <w:t>2022年一般公共预算“三公”经费预算表</w:t>
            </w:r>
          </w:p>
        </w:tc>
      </w:tr>
      <w:tr>
        <w:tblPrEx>
          <w:tblCellMar>
            <w:top w:w="0" w:type="dxa"/>
            <w:left w:w="108" w:type="dxa"/>
            <w:bottom w:w="0" w:type="dxa"/>
            <w:right w:w="108" w:type="dxa"/>
          </w:tblCellMar>
        </w:tblPrEx>
        <w:trPr>
          <w:trHeight w:val="285" w:hRule="atLeast"/>
        </w:trPr>
        <w:tc>
          <w:tcPr>
            <w:tcW w:w="2340" w:type="dxa"/>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9360" w:type="dxa"/>
            <w:gridSpan w:val="4"/>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w:t>
            </w:r>
            <w:r>
              <w:rPr>
                <w:rFonts w:hint="eastAsia" w:ascii="宋体" w:hAnsi="宋体" w:cs="宋体"/>
                <w:color w:val="000000"/>
                <w:kern w:val="0"/>
                <w:sz w:val="18"/>
                <w:szCs w:val="18"/>
              </w:rPr>
              <w:t>档案馆</w:t>
            </w:r>
          </w:p>
        </w:tc>
        <w:tc>
          <w:tcPr>
            <w:tcW w:w="2340" w:type="dxa"/>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0" w:type="dxa"/>
            <w:left w:w="108" w:type="dxa"/>
            <w:bottom w:w="0" w:type="dxa"/>
            <w:right w:w="108" w:type="dxa"/>
          </w:tblCellMar>
        </w:tblPrEx>
        <w:trPr>
          <w:trHeight w:val="285" w:hRule="atLeast"/>
        </w:trPr>
        <w:tc>
          <w:tcPr>
            <w:tcW w:w="2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“三公”经费合计</w:t>
            </w:r>
          </w:p>
        </w:tc>
        <w:tc>
          <w:tcPr>
            <w:tcW w:w="2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因公出国（境）费</w:t>
            </w:r>
          </w:p>
        </w:tc>
        <w:tc>
          <w:tcPr>
            <w:tcW w:w="70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公务用车购置及运行费</w:t>
            </w:r>
          </w:p>
        </w:tc>
        <w:tc>
          <w:tcPr>
            <w:tcW w:w="23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公务接待费</w:t>
            </w:r>
          </w:p>
        </w:tc>
      </w:tr>
      <w:tr>
        <w:tblPrEx>
          <w:tblCellMar>
            <w:top w:w="0" w:type="dxa"/>
            <w:left w:w="108" w:type="dxa"/>
            <w:bottom w:w="0" w:type="dxa"/>
            <w:right w:w="108" w:type="dxa"/>
          </w:tblCellMar>
        </w:tblPrEx>
        <w:trPr>
          <w:trHeight w:val="285"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小计</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公务用车购置费</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公务用车运行费</w:t>
            </w:r>
          </w:p>
        </w:tc>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1448" w:hRule="atLeast"/>
        </w:trPr>
        <w:tc>
          <w:tcPr>
            <w:tcW w:w="14040" w:type="dxa"/>
            <w:gridSpan w:val="6"/>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rPr>
          <w:rFonts w:ascii="宋体" w:hAnsi="宋体" w:cs="宋体"/>
          <w:color w:val="000000"/>
          <w:kern w:val="0"/>
          <w:sz w:val="22"/>
        </w:rPr>
        <w:sectPr>
          <w:pgSz w:w="16838" w:h="11906" w:orient="landscape"/>
          <w:pgMar w:top="1800" w:right="1440" w:bottom="1800" w:left="1440" w:header="851" w:footer="992" w:gutter="0"/>
          <w:pgNumType w:fmt="numberInDash"/>
          <w:cols w:space="425" w:num="1"/>
          <w:docGrid w:type="lines" w:linePitch="312" w:charSpace="0"/>
        </w:sectPr>
      </w:pPr>
      <w:r>
        <w:rPr>
          <w:rFonts w:hint="eastAsia" w:ascii="宋体" w:hAnsi="宋体" w:cs="宋体"/>
          <w:color w:val="000000"/>
          <w:kern w:val="0"/>
          <w:sz w:val="22"/>
        </w:rPr>
        <w:t>备注：伊川县档案馆2022年无“三公”经费预算拨款安排的支出，故此表无数</w:t>
      </w:r>
    </w:p>
    <w:tbl>
      <w:tblPr>
        <w:tblStyle w:val="4"/>
        <w:tblW w:w="14178" w:type="dxa"/>
        <w:tblInd w:w="0" w:type="dxa"/>
        <w:tblLayout w:type="fixed"/>
        <w:tblCellMar>
          <w:top w:w="0" w:type="dxa"/>
          <w:left w:w="108" w:type="dxa"/>
          <w:bottom w:w="0" w:type="dxa"/>
          <w:right w:w="108" w:type="dxa"/>
        </w:tblCellMar>
      </w:tblPr>
      <w:tblGrid>
        <w:gridCol w:w="630"/>
        <w:gridCol w:w="264"/>
        <w:gridCol w:w="292"/>
        <w:gridCol w:w="71"/>
        <w:gridCol w:w="270"/>
        <w:gridCol w:w="110"/>
        <w:gridCol w:w="63"/>
        <w:gridCol w:w="305"/>
        <w:gridCol w:w="371"/>
        <w:gridCol w:w="1276"/>
        <w:gridCol w:w="2126"/>
        <w:gridCol w:w="109"/>
        <w:gridCol w:w="828"/>
        <w:gridCol w:w="56"/>
        <w:gridCol w:w="283"/>
        <w:gridCol w:w="459"/>
        <w:gridCol w:w="250"/>
        <w:gridCol w:w="86"/>
        <w:gridCol w:w="197"/>
        <w:gridCol w:w="252"/>
        <w:gridCol w:w="315"/>
        <w:gridCol w:w="993"/>
        <w:gridCol w:w="207"/>
        <w:gridCol w:w="501"/>
        <w:gridCol w:w="426"/>
        <w:gridCol w:w="322"/>
        <w:gridCol w:w="103"/>
        <w:gridCol w:w="182"/>
        <w:gridCol w:w="243"/>
        <w:gridCol w:w="10"/>
        <w:gridCol w:w="132"/>
        <w:gridCol w:w="230"/>
        <w:gridCol w:w="253"/>
        <w:gridCol w:w="367"/>
        <w:gridCol w:w="57"/>
        <w:gridCol w:w="1001"/>
        <w:gridCol w:w="538"/>
      </w:tblGrid>
      <w:tr>
        <w:tblPrEx>
          <w:tblCellMar>
            <w:top w:w="0" w:type="dxa"/>
            <w:left w:w="108" w:type="dxa"/>
            <w:bottom w:w="0" w:type="dxa"/>
            <w:right w:w="108" w:type="dxa"/>
          </w:tblCellMar>
        </w:tblPrEx>
        <w:trPr>
          <w:trHeight w:val="285" w:hRule="atLeast"/>
        </w:trPr>
        <w:tc>
          <w:tcPr>
            <w:tcW w:w="14178" w:type="dxa"/>
            <w:gridSpan w:val="37"/>
            <w:tcBorders>
              <w:top w:val="nil"/>
              <w:left w:val="nil"/>
              <w:bottom w:val="nil"/>
              <w:right w:val="nil"/>
            </w:tcBorders>
            <w:shd w:val="clear" w:color="auto" w:fill="auto"/>
            <w:vAlign w:val="center"/>
          </w:tcPr>
          <w:p>
            <w:pPr>
              <w:jc w:val="right"/>
              <w:rPr>
                <w:rFonts w:ascii="宋体" w:hAnsi="宋体" w:cs="宋体"/>
                <w:sz w:val="18"/>
                <w:szCs w:val="18"/>
              </w:rPr>
            </w:pPr>
            <w:r>
              <w:rPr>
                <w:rFonts w:hint="eastAsia"/>
                <w:sz w:val="18"/>
                <w:szCs w:val="18"/>
              </w:rPr>
              <w:t>预算09表</w:t>
            </w:r>
          </w:p>
        </w:tc>
      </w:tr>
      <w:tr>
        <w:tblPrEx>
          <w:tblCellMar>
            <w:top w:w="0" w:type="dxa"/>
            <w:left w:w="108" w:type="dxa"/>
            <w:bottom w:w="0" w:type="dxa"/>
            <w:right w:w="108" w:type="dxa"/>
          </w:tblCellMar>
        </w:tblPrEx>
        <w:trPr>
          <w:trHeight w:val="570" w:hRule="atLeast"/>
        </w:trPr>
        <w:tc>
          <w:tcPr>
            <w:tcW w:w="14178" w:type="dxa"/>
            <w:gridSpan w:val="37"/>
            <w:tcBorders>
              <w:top w:val="nil"/>
              <w:left w:val="nil"/>
              <w:bottom w:val="nil"/>
              <w:right w:val="nil"/>
            </w:tcBorders>
            <w:shd w:val="clear" w:color="auto" w:fill="auto"/>
            <w:vAlign w:val="center"/>
          </w:tcPr>
          <w:p>
            <w:pPr>
              <w:jc w:val="center"/>
              <w:rPr>
                <w:rFonts w:ascii="宋体" w:hAnsi="宋体" w:cs="宋体"/>
                <w:b/>
                <w:bCs/>
                <w:sz w:val="38"/>
                <w:szCs w:val="38"/>
              </w:rPr>
            </w:pPr>
            <w:r>
              <w:rPr>
                <w:rFonts w:hint="eastAsia"/>
                <w:b/>
                <w:bCs/>
                <w:sz w:val="38"/>
                <w:szCs w:val="38"/>
              </w:rPr>
              <w:t>2022年政府性基金支出预算表</w:t>
            </w:r>
          </w:p>
        </w:tc>
      </w:tr>
      <w:tr>
        <w:tblPrEx>
          <w:tblCellMar>
            <w:top w:w="0" w:type="dxa"/>
            <w:left w:w="108" w:type="dxa"/>
            <w:bottom w:w="0" w:type="dxa"/>
            <w:right w:w="108" w:type="dxa"/>
          </w:tblCellMar>
        </w:tblPrEx>
        <w:trPr>
          <w:trHeight w:val="285" w:hRule="atLeast"/>
        </w:trPr>
        <w:tc>
          <w:tcPr>
            <w:tcW w:w="2005" w:type="dxa"/>
            <w:gridSpan w:val="8"/>
            <w:tcBorders>
              <w:top w:val="nil"/>
              <w:left w:val="nil"/>
              <w:bottom w:val="single" w:color="000000" w:sz="4" w:space="0"/>
              <w:right w:val="nil"/>
            </w:tcBorders>
            <w:shd w:val="clear" w:color="auto" w:fill="auto"/>
            <w:vAlign w:val="center"/>
          </w:tcPr>
          <w:p>
            <w:pPr>
              <w:rPr>
                <w:rFonts w:ascii="宋体" w:hAnsi="宋体" w:cs="宋体"/>
                <w:sz w:val="18"/>
                <w:szCs w:val="18"/>
              </w:rPr>
            </w:pPr>
            <w:r>
              <w:rPr>
                <w:rFonts w:hint="eastAsia"/>
                <w:sz w:val="18"/>
                <w:szCs w:val="18"/>
              </w:rPr>
              <w:t>部门名称：</w:t>
            </w:r>
          </w:p>
        </w:tc>
        <w:tc>
          <w:tcPr>
            <w:tcW w:w="11635" w:type="dxa"/>
            <w:gridSpan w:val="28"/>
            <w:tcBorders>
              <w:top w:val="nil"/>
              <w:left w:val="nil"/>
              <w:bottom w:val="single" w:color="000000" w:sz="4" w:space="0"/>
              <w:right w:val="nil"/>
            </w:tcBorders>
            <w:shd w:val="clear" w:color="auto" w:fill="auto"/>
            <w:vAlign w:val="center"/>
          </w:tcPr>
          <w:p>
            <w:pPr>
              <w:rPr>
                <w:rFonts w:ascii="宋体" w:hAnsi="宋体" w:cs="宋体"/>
                <w:sz w:val="18"/>
                <w:szCs w:val="18"/>
              </w:rPr>
            </w:pPr>
            <w:r>
              <w:rPr>
                <w:rFonts w:hint="eastAsia"/>
                <w:sz w:val="18"/>
                <w:szCs w:val="18"/>
              </w:rPr>
              <w:t>伊川县档案馆                                                                                                        单位：万元</w:t>
            </w:r>
          </w:p>
        </w:tc>
        <w:tc>
          <w:tcPr>
            <w:tcW w:w="538" w:type="dxa"/>
            <w:tcBorders>
              <w:top w:val="nil"/>
              <w:left w:val="nil"/>
              <w:bottom w:val="nil"/>
              <w:right w:val="nil"/>
            </w:tcBorders>
            <w:shd w:val="clear" w:color="auto" w:fill="auto"/>
            <w:vAlign w:val="center"/>
          </w:tcPr>
          <w:p>
            <w:pPr>
              <w:ind w:right="360"/>
              <w:rPr>
                <w:rFonts w:ascii="宋体" w:hAnsi="宋体" w:cs="宋体"/>
                <w:sz w:val="18"/>
                <w:szCs w:val="18"/>
              </w:rPr>
            </w:pPr>
          </w:p>
        </w:tc>
      </w:tr>
      <w:tr>
        <w:tblPrEx>
          <w:tblCellMar>
            <w:top w:w="0" w:type="dxa"/>
            <w:left w:w="108" w:type="dxa"/>
            <w:bottom w:w="0" w:type="dxa"/>
            <w:right w:w="108" w:type="dxa"/>
          </w:tblCellMar>
        </w:tblPrEx>
        <w:trPr>
          <w:trHeight w:val="285" w:hRule="atLeast"/>
        </w:trPr>
        <w:tc>
          <w:tcPr>
            <w:tcW w:w="2005"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科目编码</w:t>
            </w:r>
          </w:p>
        </w:tc>
        <w:tc>
          <w:tcPr>
            <w:tcW w:w="164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单位代码</w:t>
            </w:r>
          </w:p>
        </w:tc>
        <w:tc>
          <w:tcPr>
            <w:tcW w:w="2126"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单位（科目名称）</w:t>
            </w:r>
          </w:p>
        </w:tc>
        <w:tc>
          <w:tcPr>
            <w:tcW w:w="1276"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合计</w:t>
            </w:r>
          </w:p>
        </w:tc>
        <w:tc>
          <w:tcPr>
            <w:tcW w:w="5161" w:type="dxa"/>
            <w:gridSpan w:val="18"/>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 xml:space="preserve">基本支出  </w:t>
            </w:r>
          </w:p>
        </w:tc>
        <w:tc>
          <w:tcPr>
            <w:tcW w:w="196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项目支出</w:t>
            </w:r>
          </w:p>
        </w:tc>
      </w:tr>
      <w:tr>
        <w:tblPrEx>
          <w:tblCellMar>
            <w:top w:w="0" w:type="dxa"/>
            <w:left w:w="108" w:type="dxa"/>
            <w:bottom w:w="0" w:type="dxa"/>
            <w:right w:w="108" w:type="dxa"/>
          </w:tblCellMar>
        </w:tblPrEx>
        <w:trPr>
          <w:trHeight w:val="285" w:hRule="atLeast"/>
        </w:trPr>
        <w:tc>
          <w:tcPr>
            <w:tcW w:w="2005" w:type="dxa"/>
            <w:gridSpan w:val="8"/>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1647" w:type="dxa"/>
            <w:gridSpan w:val="2"/>
            <w:vMerge w:val="continue"/>
            <w:tcBorders>
              <w:top w:val="nil"/>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2126" w:type="dxa"/>
            <w:vMerge w:val="continue"/>
            <w:tcBorders>
              <w:top w:val="nil"/>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1276" w:type="dxa"/>
            <w:gridSpan w:val="4"/>
            <w:vMerge w:val="continue"/>
            <w:tcBorders>
              <w:top w:val="nil"/>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992"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小计</w:t>
            </w:r>
          </w:p>
        </w:tc>
        <w:tc>
          <w:tcPr>
            <w:tcW w:w="2694" w:type="dxa"/>
            <w:gridSpan w:val="6"/>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人员经费</w:t>
            </w:r>
          </w:p>
        </w:tc>
        <w:tc>
          <w:tcPr>
            <w:tcW w:w="1475" w:type="dxa"/>
            <w:gridSpan w:val="8"/>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公用经费</w:t>
            </w:r>
          </w:p>
        </w:tc>
        <w:tc>
          <w:tcPr>
            <w:tcW w:w="42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小计</w:t>
            </w:r>
          </w:p>
        </w:tc>
        <w:tc>
          <w:tcPr>
            <w:tcW w:w="1001"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其他运转类</w:t>
            </w:r>
          </w:p>
        </w:tc>
        <w:tc>
          <w:tcPr>
            <w:tcW w:w="538"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特定目标类</w:t>
            </w:r>
          </w:p>
        </w:tc>
      </w:tr>
      <w:tr>
        <w:tblPrEx>
          <w:tblCellMar>
            <w:top w:w="0" w:type="dxa"/>
            <w:left w:w="108" w:type="dxa"/>
            <w:bottom w:w="0" w:type="dxa"/>
            <w:right w:w="108" w:type="dxa"/>
          </w:tblCellMar>
        </w:tblPrEx>
        <w:trPr>
          <w:trHeight w:val="679"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类</w:t>
            </w:r>
          </w:p>
        </w:tc>
        <w:tc>
          <w:tcPr>
            <w:tcW w:w="897" w:type="dxa"/>
            <w:gridSpan w:val="4"/>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款</w:t>
            </w:r>
          </w:p>
        </w:tc>
        <w:tc>
          <w:tcPr>
            <w:tcW w:w="478" w:type="dxa"/>
            <w:gridSpan w:val="3"/>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项</w:t>
            </w:r>
          </w:p>
        </w:tc>
        <w:tc>
          <w:tcPr>
            <w:tcW w:w="1647" w:type="dxa"/>
            <w:gridSpan w:val="2"/>
            <w:vMerge w:val="continue"/>
            <w:tcBorders>
              <w:top w:val="nil"/>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2126" w:type="dxa"/>
            <w:vMerge w:val="continue"/>
            <w:tcBorders>
              <w:top w:val="nil"/>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1276" w:type="dxa"/>
            <w:gridSpan w:val="4"/>
            <w:vMerge w:val="continue"/>
            <w:tcBorders>
              <w:top w:val="nil"/>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992" w:type="dxa"/>
            <w:gridSpan w:val="4"/>
            <w:vMerge w:val="continue"/>
            <w:tcBorders>
              <w:top w:val="nil"/>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1560" w:type="dxa"/>
            <w:gridSpan w:val="3"/>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工资福利支出</w:t>
            </w:r>
          </w:p>
        </w:tc>
        <w:tc>
          <w:tcPr>
            <w:tcW w:w="1134" w:type="dxa"/>
            <w:gridSpan w:val="3"/>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对个人和家庭的补助</w:t>
            </w:r>
          </w:p>
        </w:tc>
        <w:tc>
          <w:tcPr>
            <w:tcW w:w="850" w:type="dxa"/>
            <w:gridSpan w:val="4"/>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商品和服务支出</w:t>
            </w:r>
          </w:p>
        </w:tc>
        <w:tc>
          <w:tcPr>
            <w:tcW w:w="625" w:type="dxa"/>
            <w:gridSpan w:val="4"/>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资本性支出</w:t>
            </w:r>
          </w:p>
        </w:tc>
        <w:tc>
          <w:tcPr>
            <w:tcW w:w="424" w:type="dxa"/>
            <w:gridSpan w:val="2"/>
            <w:vMerge w:val="continue"/>
            <w:tcBorders>
              <w:top w:val="nil"/>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538" w:type="dxa"/>
            <w:vMerge w:val="continue"/>
            <w:tcBorders>
              <w:top w:val="nil"/>
              <w:left w:val="single" w:color="000000" w:sz="4" w:space="0"/>
              <w:bottom w:val="single" w:color="000000" w:sz="4" w:space="0"/>
              <w:right w:val="single" w:color="000000" w:sz="4"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trHeight w:val="28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 xml:space="preserve"> </w:t>
            </w:r>
          </w:p>
        </w:tc>
        <w:tc>
          <w:tcPr>
            <w:tcW w:w="897" w:type="dxa"/>
            <w:gridSpan w:val="4"/>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　</w:t>
            </w:r>
          </w:p>
        </w:tc>
        <w:tc>
          <w:tcPr>
            <w:tcW w:w="478" w:type="dxa"/>
            <w:gridSpan w:val="3"/>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　</w:t>
            </w:r>
          </w:p>
        </w:tc>
        <w:tc>
          <w:tcPr>
            <w:tcW w:w="1647"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　</w:t>
            </w:r>
          </w:p>
        </w:tc>
        <w:tc>
          <w:tcPr>
            <w:tcW w:w="212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合计</w:t>
            </w:r>
          </w:p>
        </w:tc>
        <w:tc>
          <w:tcPr>
            <w:tcW w:w="1276" w:type="dxa"/>
            <w:gridSpan w:val="4"/>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992" w:type="dxa"/>
            <w:gridSpan w:val="4"/>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1560"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11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850" w:type="dxa"/>
            <w:gridSpan w:val="4"/>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625" w:type="dxa"/>
            <w:gridSpan w:val="4"/>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42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1001"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53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r>
      <w:tr>
        <w:tblPrEx>
          <w:tblCellMar>
            <w:top w:w="0" w:type="dxa"/>
            <w:left w:w="108" w:type="dxa"/>
            <w:bottom w:w="0" w:type="dxa"/>
            <w:right w:w="108" w:type="dxa"/>
          </w:tblCellMar>
        </w:tblPrEx>
        <w:trPr>
          <w:trHeight w:val="28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w:t>
            </w:r>
          </w:p>
        </w:tc>
        <w:tc>
          <w:tcPr>
            <w:tcW w:w="897" w:type="dxa"/>
            <w:gridSpan w:val="4"/>
            <w:tcBorders>
              <w:top w:val="nil"/>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w:t>
            </w:r>
          </w:p>
        </w:tc>
        <w:tc>
          <w:tcPr>
            <w:tcW w:w="478" w:type="dxa"/>
            <w:gridSpan w:val="3"/>
            <w:tcBorders>
              <w:top w:val="nil"/>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w:t>
            </w:r>
          </w:p>
        </w:tc>
        <w:tc>
          <w:tcPr>
            <w:tcW w:w="1647" w:type="dxa"/>
            <w:gridSpan w:val="2"/>
            <w:tcBorders>
              <w:top w:val="nil"/>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w:t>
            </w:r>
          </w:p>
        </w:tc>
        <w:tc>
          <w:tcPr>
            <w:tcW w:w="2126" w:type="dxa"/>
            <w:tcBorders>
              <w:top w:val="nil"/>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w:t>
            </w:r>
          </w:p>
        </w:tc>
        <w:tc>
          <w:tcPr>
            <w:tcW w:w="1276" w:type="dxa"/>
            <w:gridSpan w:val="4"/>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992" w:type="dxa"/>
            <w:gridSpan w:val="4"/>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1560"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11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850" w:type="dxa"/>
            <w:gridSpan w:val="4"/>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625" w:type="dxa"/>
            <w:gridSpan w:val="4"/>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42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1001"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53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r>
      <w:tr>
        <w:tblPrEx>
          <w:tblCellMar>
            <w:top w:w="0" w:type="dxa"/>
            <w:left w:w="108" w:type="dxa"/>
            <w:bottom w:w="0" w:type="dxa"/>
            <w:right w:w="108" w:type="dxa"/>
          </w:tblCellMar>
        </w:tblPrEx>
        <w:trPr>
          <w:trHeight w:val="28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w:t>
            </w:r>
          </w:p>
        </w:tc>
        <w:tc>
          <w:tcPr>
            <w:tcW w:w="897" w:type="dxa"/>
            <w:gridSpan w:val="4"/>
            <w:tcBorders>
              <w:top w:val="nil"/>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w:t>
            </w:r>
          </w:p>
        </w:tc>
        <w:tc>
          <w:tcPr>
            <w:tcW w:w="478" w:type="dxa"/>
            <w:gridSpan w:val="3"/>
            <w:tcBorders>
              <w:top w:val="nil"/>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w:t>
            </w:r>
          </w:p>
        </w:tc>
        <w:tc>
          <w:tcPr>
            <w:tcW w:w="1647" w:type="dxa"/>
            <w:gridSpan w:val="2"/>
            <w:tcBorders>
              <w:top w:val="nil"/>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w:t>
            </w:r>
          </w:p>
        </w:tc>
        <w:tc>
          <w:tcPr>
            <w:tcW w:w="2126" w:type="dxa"/>
            <w:tcBorders>
              <w:top w:val="nil"/>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w:t>
            </w:r>
          </w:p>
        </w:tc>
        <w:tc>
          <w:tcPr>
            <w:tcW w:w="1276" w:type="dxa"/>
            <w:gridSpan w:val="4"/>
            <w:tcBorders>
              <w:top w:val="nil"/>
              <w:left w:val="nil"/>
              <w:bottom w:val="single" w:color="000000" w:sz="4" w:space="0"/>
              <w:right w:val="single" w:color="000000" w:sz="4" w:space="0"/>
            </w:tcBorders>
            <w:shd w:val="clear" w:color="auto" w:fill="auto"/>
            <w:vAlign w:val="center"/>
          </w:tcPr>
          <w:p>
            <w:pPr>
              <w:wordWrap w:val="0"/>
              <w:jc w:val="right"/>
              <w:rPr>
                <w:rFonts w:ascii="宋体" w:hAnsi="宋体" w:cs="宋体"/>
                <w:sz w:val="18"/>
                <w:szCs w:val="18"/>
              </w:rPr>
            </w:pPr>
            <w:r>
              <w:rPr>
                <w:rFonts w:hint="eastAsia"/>
                <w:sz w:val="18"/>
                <w:szCs w:val="18"/>
              </w:rPr>
              <w:t xml:space="preserve">  　</w:t>
            </w:r>
          </w:p>
        </w:tc>
        <w:tc>
          <w:tcPr>
            <w:tcW w:w="992" w:type="dxa"/>
            <w:gridSpan w:val="4"/>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1560"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1134" w:type="dxa"/>
            <w:gridSpan w:val="3"/>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850" w:type="dxa"/>
            <w:gridSpan w:val="4"/>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625" w:type="dxa"/>
            <w:gridSpan w:val="4"/>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424"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1001"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53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sz w:val="18"/>
                <w:szCs w:val="18"/>
              </w:rPr>
            </w:pPr>
            <w:r>
              <w:rPr>
                <w:rFonts w:hint="eastAsia"/>
                <w:sz w:val="18"/>
                <w:szCs w:val="18"/>
              </w:rPr>
              <w:t>　</w:t>
            </w:r>
          </w:p>
        </w:tc>
      </w:tr>
      <w:tr>
        <w:tblPrEx>
          <w:tblCellMar>
            <w:top w:w="0" w:type="dxa"/>
            <w:left w:w="108" w:type="dxa"/>
            <w:bottom w:w="0" w:type="dxa"/>
            <w:right w:w="108" w:type="dxa"/>
          </w:tblCellMar>
        </w:tblPrEx>
        <w:trPr>
          <w:gridAfter w:val="7"/>
          <w:wAfter w:w="2578" w:type="dxa"/>
          <w:trHeight w:val="312" w:hRule="atLeast"/>
        </w:trPr>
        <w:tc>
          <w:tcPr>
            <w:tcW w:w="11600" w:type="dxa"/>
            <w:gridSpan w:val="30"/>
            <w:tcBorders>
              <w:top w:val="nil"/>
              <w:left w:val="nil"/>
              <w:bottom w:val="nil"/>
              <w:right w:val="nil"/>
            </w:tcBorders>
            <w:vAlign w:val="center"/>
          </w:tcPr>
          <w:p>
            <w:pPr>
              <w:widowControl/>
              <w:ind w:right="360"/>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gridAfter w:val="7"/>
          <w:wAfter w:w="2578" w:type="dxa"/>
          <w:trHeight w:val="624" w:hRule="atLeast"/>
        </w:trPr>
        <w:tc>
          <w:tcPr>
            <w:tcW w:w="11600" w:type="dxa"/>
            <w:gridSpan w:val="30"/>
            <w:tcBorders>
              <w:top w:val="nil"/>
              <w:left w:val="nil"/>
              <w:bottom w:val="nil"/>
              <w:right w:val="nil"/>
            </w:tcBorders>
            <w:vAlign w:val="center"/>
          </w:tcPr>
          <w:p>
            <w:pPr>
              <w:widowControl/>
              <w:jc w:val="center"/>
              <w:textAlignment w:val="center"/>
              <w:rPr>
                <w:rFonts w:ascii="宋体" w:hAnsi="宋体" w:cs="宋体"/>
                <w:b/>
                <w:bCs/>
                <w:color w:val="000000"/>
                <w:sz w:val="38"/>
                <w:szCs w:val="38"/>
              </w:rPr>
            </w:pPr>
            <w:r>
              <w:rPr>
                <w:rFonts w:hint="eastAsia" w:ascii="宋体" w:hAnsi="宋体" w:cs="宋体"/>
                <w:color w:val="000000"/>
                <w:kern w:val="0"/>
                <w:sz w:val="22"/>
              </w:rPr>
              <w:t>备注：伊川县档案馆2022年无政府性基金预算拨款安排的支出，故此表无数据。</w:t>
            </w:r>
          </w:p>
        </w:tc>
      </w:tr>
      <w:tr>
        <w:tblPrEx>
          <w:tblCellMar>
            <w:top w:w="0" w:type="dxa"/>
            <w:left w:w="108" w:type="dxa"/>
            <w:bottom w:w="0" w:type="dxa"/>
            <w:right w:w="108" w:type="dxa"/>
          </w:tblCellMar>
        </w:tblPrEx>
        <w:trPr>
          <w:gridAfter w:val="9"/>
          <w:wAfter w:w="2831" w:type="dxa"/>
          <w:trHeight w:val="312" w:hRule="atLeast"/>
        </w:trPr>
        <w:tc>
          <w:tcPr>
            <w:tcW w:w="1257" w:type="dxa"/>
            <w:gridSpan w:val="4"/>
            <w:tcBorders>
              <w:top w:val="nil"/>
              <w:left w:val="nil"/>
              <w:bottom w:val="nil"/>
              <w:right w:val="nil"/>
            </w:tcBorders>
            <w:vAlign w:val="center"/>
          </w:tcPr>
          <w:p>
            <w:pPr>
              <w:widowControl/>
              <w:jc w:val="left"/>
              <w:textAlignment w:val="center"/>
              <w:rPr>
                <w:rFonts w:ascii="宋体" w:hAnsi="宋体" w:cs="宋体"/>
                <w:color w:val="000000"/>
                <w:sz w:val="18"/>
                <w:szCs w:val="18"/>
              </w:rPr>
            </w:pPr>
          </w:p>
        </w:tc>
        <w:tc>
          <w:tcPr>
            <w:tcW w:w="10090" w:type="dxa"/>
            <w:gridSpan w:val="24"/>
            <w:tcBorders>
              <w:top w:val="nil"/>
              <w:left w:val="nil"/>
              <w:bottom w:val="nil"/>
              <w:right w:val="nil"/>
            </w:tcBorders>
            <w:vAlign w:val="center"/>
          </w:tcPr>
          <w:p>
            <w:pPr>
              <w:widowControl/>
              <w:jc w:val="left"/>
              <w:textAlignment w:val="center"/>
              <w:rPr>
                <w:rFonts w:ascii="宋体" w:hAnsi="宋体" w:cs="宋体"/>
                <w:color w:val="000000"/>
                <w:sz w:val="18"/>
                <w:szCs w:val="18"/>
              </w:rPr>
            </w:pPr>
          </w:p>
        </w:tc>
      </w:tr>
      <w:tr>
        <w:tblPrEx>
          <w:tblCellMar>
            <w:top w:w="0" w:type="dxa"/>
            <w:left w:w="108" w:type="dxa"/>
            <w:bottom w:w="0" w:type="dxa"/>
            <w:right w:w="108" w:type="dxa"/>
          </w:tblCellMar>
        </w:tblPrEx>
        <w:trPr>
          <w:gridAfter w:val="9"/>
          <w:wAfter w:w="2831" w:type="dxa"/>
          <w:trHeight w:val="637" w:hRule="atLeast"/>
        </w:trPr>
        <w:tc>
          <w:tcPr>
            <w:tcW w:w="630" w:type="dxa"/>
            <w:tcBorders>
              <w:top w:val="nil"/>
              <w:left w:val="nil"/>
              <w:bottom w:val="nil"/>
              <w:right w:val="nil"/>
            </w:tcBorders>
            <w:vAlign w:val="center"/>
          </w:tcPr>
          <w:p>
            <w:pPr>
              <w:rPr>
                <w:rFonts w:ascii="宋体" w:hAnsi="宋体" w:cs="宋体"/>
                <w:color w:val="000000"/>
                <w:sz w:val="18"/>
                <w:szCs w:val="18"/>
              </w:rPr>
            </w:pPr>
          </w:p>
        </w:tc>
        <w:tc>
          <w:tcPr>
            <w:tcW w:w="264" w:type="dxa"/>
            <w:tcBorders>
              <w:top w:val="nil"/>
              <w:left w:val="nil"/>
              <w:bottom w:val="nil"/>
              <w:right w:val="nil"/>
            </w:tcBorders>
            <w:vAlign w:val="center"/>
          </w:tcPr>
          <w:p>
            <w:pPr>
              <w:rPr>
                <w:rFonts w:ascii="宋体" w:hAnsi="宋体" w:cs="宋体"/>
                <w:color w:val="000000"/>
                <w:sz w:val="18"/>
                <w:szCs w:val="18"/>
              </w:rPr>
            </w:pPr>
          </w:p>
        </w:tc>
        <w:tc>
          <w:tcPr>
            <w:tcW w:w="363" w:type="dxa"/>
            <w:gridSpan w:val="2"/>
            <w:tcBorders>
              <w:top w:val="nil"/>
              <w:left w:val="nil"/>
              <w:bottom w:val="nil"/>
              <w:right w:val="nil"/>
            </w:tcBorders>
            <w:vAlign w:val="center"/>
          </w:tcPr>
          <w:p>
            <w:pPr>
              <w:rPr>
                <w:rFonts w:ascii="宋体" w:hAnsi="宋体" w:cs="宋体"/>
                <w:color w:val="000000"/>
                <w:sz w:val="18"/>
                <w:szCs w:val="18"/>
              </w:rPr>
            </w:pPr>
          </w:p>
        </w:tc>
        <w:tc>
          <w:tcPr>
            <w:tcW w:w="443" w:type="dxa"/>
            <w:gridSpan w:val="3"/>
            <w:tcBorders>
              <w:top w:val="nil"/>
              <w:left w:val="nil"/>
              <w:bottom w:val="nil"/>
              <w:right w:val="nil"/>
            </w:tcBorders>
            <w:vAlign w:val="center"/>
          </w:tcPr>
          <w:p>
            <w:pPr>
              <w:rPr>
                <w:rFonts w:ascii="宋体" w:hAnsi="宋体" w:cs="宋体"/>
                <w:color w:val="000000"/>
                <w:sz w:val="18"/>
                <w:szCs w:val="18"/>
              </w:rPr>
            </w:pPr>
          </w:p>
        </w:tc>
        <w:tc>
          <w:tcPr>
            <w:tcW w:w="4187" w:type="dxa"/>
            <w:gridSpan w:val="5"/>
            <w:tcBorders>
              <w:top w:val="nil"/>
              <w:left w:val="nil"/>
              <w:bottom w:val="nil"/>
              <w:right w:val="nil"/>
            </w:tcBorders>
            <w:vAlign w:val="center"/>
          </w:tcPr>
          <w:p>
            <w:pPr>
              <w:rPr>
                <w:rFonts w:ascii="宋体" w:hAnsi="宋体" w:cs="宋体"/>
                <w:color w:val="000000"/>
                <w:sz w:val="18"/>
                <w:szCs w:val="18"/>
              </w:rPr>
            </w:pPr>
          </w:p>
        </w:tc>
        <w:tc>
          <w:tcPr>
            <w:tcW w:w="828" w:type="dxa"/>
            <w:tcBorders>
              <w:top w:val="nil"/>
              <w:left w:val="nil"/>
              <w:bottom w:val="nil"/>
              <w:right w:val="nil"/>
            </w:tcBorders>
            <w:noWrap/>
            <w:vAlign w:val="center"/>
          </w:tcPr>
          <w:p>
            <w:pPr>
              <w:rPr>
                <w:rFonts w:ascii="宋体" w:hAnsi="宋体" w:cs="宋体"/>
                <w:color w:val="000000"/>
                <w:sz w:val="22"/>
              </w:rPr>
            </w:pPr>
          </w:p>
        </w:tc>
        <w:tc>
          <w:tcPr>
            <w:tcW w:w="798" w:type="dxa"/>
            <w:gridSpan w:val="3"/>
            <w:tcBorders>
              <w:top w:val="nil"/>
              <w:left w:val="nil"/>
              <w:bottom w:val="nil"/>
              <w:right w:val="nil"/>
            </w:tcBorders>
            <w:noWrap/>
            <w:vAlign w:val="center"/>
          </w:tcPr>
          <w:p>
            <w:pPr>
              <w:rPr>
                <w:rFonts w:ascii="宋体" w:hAnsi="宋体" w:cs="宋体"/>
                <w:color w:val="000000"/>
                <w:sz w:val="22"/>
              </w:rPr>
            </w:pPr>
          </w:p>
        </w:tc>
        <w:tc>
          <w:tcPr>
            <w:tcW w:w="336" w:type="dxa"/>
            <w:gridSpan w:val="2"/>
            <w:tcBorders>
              <w:top w:val="nil"/>
              <w:left w:val="nil"/>
              <w:bottom w:val="nil"/>
              <w:right w:val="nil"/>
            </w:tcBorders>
            <w:noWrap/>
            <w:vAlign w:val="center"/>
          </w:tcPr>
          <w:p>
            <w:pPr>
              <w:rPr>
                <w:rFonts w:ascii="宋体" w:hAnsi="宋体" w:cs="宋体"/>
                <w:color w:val="000000"/>
                <w:sz w:val="22"/>
              </w:rPr>
            </w:pPr>
          </w:p>
        </w:tc>
        <w:tc>
          <w:tcPr>
            <w:tcW w:w="449" w:type="dxa"/>
            <w:gridSpan w:val="2"/>
            <w:tcBorders>
              <w:top w:val="nil"/>
              <w:left w:val="nil"/>
              <w:bottom w:val="nil"/>
              <w:right w:val="nil"/>
            </w:tcBorders>
            <w:noWrap/>
            <w:vAlign w:val="center"/>
          </w:tcPr>
          <w:p>
            <w:pPr>
              <w:rPr>
                <w:rFonts w:ascii="宋体" w:hAnsi="宋体" w:cs="宋体"/>
                <w:color w:val="000000"/>
                <w:sz w:val="22"/>
              </w:rPr>
            </w:pPr>
          </w:p>
        </w:tc>
        <w:tc>
          <w:tcPr>
            <w:tcW w:w="1515" w:type="dxa"/>
            <w:gridSpan w:val="3"/>
            <w:tcBorders>
              <w:top w:val="nil"/>
              <w:left w:val="nil"/>
              <w:bottom w:val="nil"/>
              <w:right w:val="nil"/>
            </w:tcBorders>
            <w:noWrap/>
            <w:vAlign w:val="center"/>
          </w:tcPr>
          <w:p>
            <w:pPr>
              <w:rPr>
                <w:rFonts w:ascii="宋体" w:hAnsi="宋体" w:cs="宋体"/>
                <w:color w:val="000000"/>
                <w:sz w:val="22"/>
              </w:rPr>
            </w:pPr>
          </w:p>
        </w:tc>
        <w:tc>
          <w:tcPr>
            <w:tcW w:w="927" w:type="dxa"/>
            <w:gridSpan w:val="2"/>
            <w:tcBorders>
              <w:top w:val="nil"/>
              <w:left w:val="nil"/>
              <w:bottom w:val="nil"/>
              <w:right w:val="nil"/>
            </w:tcBorders>
            <w:noWrap/>
            <w:vAlign w:val="center"/>
          </w:tcPr>
          <w:p>
            <w:pPr>
              <w:rPr>
                <w:rFonts w:ascii="宋体" w:hAnsi="宋体" w:cs="宋体"/>
                <w:color w:val="000000"/>
                <w:sz w:val="22"/>
              </w:rPr>
            </w:pPr>
          </w:p>
        </w:tc>
        <w:tc>
          <w:tcPr>
            <w:tcW w:w="322" w:type="dxa"/>
            <w:tcBorders>
              <w:top w:val="nil"/>
              <w:left w:val="nil"/>
              <w:bottom w:val="nil"/>
              <w:right w:val="nil"/>
            </w:tcBorders>
            <w:noWrap/>
            <w:vAlign w:val="center"/>
          </w:tcPr>
          <w:p>
            <w:pPr>
              <w:rPr>
                <w:rFonts w:ascii="宋体" w:hAnsi="宋体" w:cs="宋体"/>
                <w:color w:val="000000"/>
                <w:sz w:val="22"/>
              </w:rPr>
            </w:pPr>
          </w:p>
        </w:tc>
        <w:tc>
          <w:tcPr>
            <w:tcW w:w="285" w:type="dxa"/>
            <w:gridSpan w:val="2"/>
            <w:tcBorders>
              <w:top w:val="nil"/>
              <w:left w:val="nil"/>
              <w:bottom w:val="nil"/>
              <w:right w:val="nil"/>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gridAfter w:val="9"/>
          <w:wAfter w:w="2831" w:type="dxa"/>
          <w:trHeight w:val="312" w:hRule="atLeast"/>
        </w:trPr>
        <w:tc>
          <w:tcPr>
            <w:tcW w:w="630" w:type="dxa"/>
            <w:tcBorders>
              <w:top w:val="nil"/>
              <w:left w:val="nil"/>
              <w:bottom w:val="nil"/>
              <w:right w:val="nil"/>
            </w:tcBorders>
            <w:noWrap/>
            <w:vAlign w:val="center"/>
          </w:tcPr>
          <w:p>
            <w:pPr>
              <w:rPr>
                <w:rFonts w:ascii="宋体" w:hAnsi="宋体" w:cs="宋体"/>
                <w:color w:val="000000"/>
                <w:sz w:val="22"/>
              </w:rPr>
            </w:pPr>
          </w:p>
        </w:tc>
        <w:tc>
          <w:tcPr>
            <w:tcW w:w="264" w:type="dxa"/>
            <w:tcBorders>
              <w:top w:val="nil"/>
              <w:left w:val="nil"/>
              <w:bottom w:val="nil"/>
              <w:right w:val="nil"/>
            </w:tcBorders>
            <w:noWrap/>
            <w:vAlign w:val="center"/>
          </w:tcPr>
          <w:p>
            <w:pPr>
              <w:rPr>
                <w:rFonts w:ascii="宋体" w:hAnsi="宋体" w:cs="宋体"/>
                <w:color w:val="000000"/>
                <w:sz w:val="22"/>
              </w:rPr>
            </w:pPr>
          </w:p>
        </w:tc>
        <w:tc>
          <w:tcPr>
            <w:tcW w:w="363" w:type="dxa"/>
            <w:gridSpan w:val="2"/>
            <w:tcBorders>
              <w:top w:val="nil"/>
              <w:left w:val="nil"/>
              <w:bottom w:val="nil"/>
              <w:right w:val="nil"/>
            </w:tcBorders>
            <w:noWrap/>
            <w:vAlign w:val="center"/>
          </w:tcPr>
          <w:p>
            <w:pPr>
              <w:rPr>
                <w:rFonts w:ascii="宋体" w:hAnsi="宋体" w:cs="宋体"/>
                <w:color w:val="000000"/>
                <w:sz w:val="22"/>
              </w:rPr>
            </w:pPr>
          </w:p>
        </w:tc>
        <w:tc>
          <w:tcPr>
            <w:tcW w:w="443" w:type="dxa"/>
            <w:gridSpan w:val="3"/>
            <w:tcBorders>
              <w:top w:val="nil"/>
              <w:left w:val="nil"/>
              <w:bottom w:val="nil"/>
              <w:right w:val="nil"/>
            </w:tcBorders>
            <w:noWrap/>
            <w:vAlign w:val="center"/>
          </w:tcPr>
          <w:p>
            <w:pPr>
              <w:rPr>
                <w:rFonts w:ascii="宋体" w:hAnsi="宋体" w:cs="宋体"/>
                <w:color w:val="000000"/>
                <w:sz w:val="22"/>
              </w:rPr>
            </w:pPr>
          </w:p>
        </w:tc>
        <w:tc>
          <w:tcPr>
            <w:tcW w:w="4187" w:type="dxa"/>
            <w:gridSpan w:val="5"/>
            <w:tcBorders>
              <w:top w:val="nil"/>
              <w:left w:val="nil"/>
              <w:bottom w:val="nil"/>
              <w:right w:val="nil"/>
            </w:tcBorders>
            <w:noWrap/>
            <w:vAlign w:val="center"/>
          </w:tcPr>
          <w:p>
            <w:pPr>
              <w:rPr>
                <w:rFonts w:ascii="宋体" w:hAnsi="宋体" w:cs="宋体"/>
                <w:color w:val="000000"/>
                <w:sz w:val="22"/>
              </w:rPr>
            </w:pPr>
          </w:p>
        </w:tc>
        <w:tc>
          <w:tcPr>
            <w:tcW w:w="828" w:type="dxa"/>
            <w:tcBorders>
              <w:top w:val="nil"/>
              <w:left w:val="nil"/>
              <w:bottom w:val="nil"/>
              <w:right w:val="nil"/>
            </w:tcBorders>
            <w:noWrap/>
            <w:vAlign w:val="center"/>
          </w:tcPr>
          <w:p>
            <w:pPr>
              <w:rPr>
                <w:rFonts w:ascii="宋体" w:hAnsi="宋体" w:cs="宋体"/>
                <w:color w:val="000000"/>
                <w:sz w:val="22"/>
              </w:rPr>
            </w:pPr>
          </w:p>
        </w:tc>
        <w:tc>
          <w:tcPr>
            <w:tcW w:w="798" w:type="dxa"/>
            <w:gridSpan w:val="3"/>
            <w:tcBorders>
              <w:top w:val="nil"/>
              <w:left w:val="nil"/>
              <w:bottom w:val="nil"/>
              <w:right w:val="nil"/>
            </w:tcBorders>
            <w:noWrap/>
            <w:vAlign w:val="center"/>
          </w:tcPr>
          <w:p>
            <w:pPr>
              <w:rPr>
                <w:rFonts w:ascii="宋体" w:hAnsi="宋体" w:cs="宋体"/>
                <w:color w:val="000000"/>
                <w:sz w:val="22"/>
              </w:rPr>
            </w:pPr>
          </w:p>
        </w:tc>
        <w:tc>
          <w:tcPr>
            <w:tcW w:w="336" w:type="dxa"/>
            <w:gridSpan w:val="2"/>
            <w:tcBorders>
              <w:top w:val="nil"/>
              <w:left w:val="nil"/>
              <w:bottom w:val="nil"/>
              <w:right w:val="nil"/>
            </w:tcBorders>
            <w:noWrap/>
            <w:vAlign w:val="center"/>
          </w:tcPr>
          <w:p>
            <w:pPr>
              <w:rPr>
                <w:rFonts w:ascii="宋体" w:hAnsi="宋体" w:cs="宋体"/>
                <w:color w:val="000000"/>
                <w:sz w:val="22"/>
              </w:rPr>
            </w:pPr>
          </w:p>
        </w:tc>
        <w:tc>
          <w:tcPr>
            <w:tcW w:w="449" w:type="dxa"/>
            <w:gridSpan w:val="2"/>
            <w:tcBorders>
              <w:top w:val="nil"/>
              <w:left w:val="nil"/>
              <w:bottom w:val="nil"/>
              <w:right w:val="nil"/>
            </w:tcBorders>
            <w:noWrap/>
            <w:vAlign w:val="center"/>
          </w:tcPr>
          <w:p>
            <w:pPr>
              <w:rPr>
                <w:rFonts w:ascii="宋体" w:hAnsi="宋体" w:cs="宋体"/>
                <w:color w:val="000000"/>
                <w:sz w:val="22"/>
              </w:rPr>
            </w:pPr>
          </w:p>
        </w:tc>
        <w:tc>
          <w:tcPr>
            <w:tcW w:w="1515" w:type="dxa"/>
            <w:gridSpan w:val="3"/>
            <w:tcBorders>
              <w:top w:val="nil"/>
              <w:left w:val="nil"/>
              <w:bottom w:val="nil"/>
              <w:right w:val="nil"/>
            </w:tcBorders>
            <w:noWrap/>
            <w:vAlign w:val="center"/>
          </w:tcPr>
          <w:p>
            <w:pPr>
              <w:rPr>
                <w:rFonts w:ascii="宋体" w:hAnsi="宋体" w:cs="宋体"/>
                <w:color w:val="000000"/>
                <w:sz w:val="22"/>
              </w:rPr>
            </w:pPr>
          </w:p>
        </w:tc>
        <w:tc>
          <w:tcPr>
            <w:tcW w:w="927" w:type="dxa"/>
            <w:gridSpan w:val="2"/>
            <w:tcBorders>
              <w:top w:val="nil"/>
              <w:left w:val="nil"/>
              <w:bottom w:val="nil"/>
              <w:right w:val="nil"/>
            </w:tcBorders>
            <w:noWrap/>
            <w:vAlign w:val="center"/>
          </w:tcPr>
          <w:p>
            <w:pPr>
              <w:rPr>
                <w:rFonts w:ascii="宋体" w:hAnsi="宋体" w:cs="宋体"/>
                <w:color w:val="000000"/>
                <w:sz w:val="22"/>
              </w:rPr>
            </w:pPr>
          </w:p>
        </w:tc>
        <w:tc>
          <w:tcPr>
            <w:tcW w:w="322" w:type="dxa"/>
            <w:tcBorders>
              <w:top w:val="nil"/>
              <w:left w:val="nil"/>
              <w:bottom w:val="nil"/>
              <w:right w:val="nil"/>
            </w:tcBorders>
            <w:noWrap/>
            <w:vAlign w:val="center"/>
          </w:tcPr>
          <w:p>
            <w:pPr>
              <w:rPr>
                <w:rFonts w:ascii="宋体" w:hAnsi="宋体" w:cs="宋体"/>
                <w:color w:val="000000"/>
                <w:sz w:val="22"/>
              </w:rPr>
            </w:pPr>
          </w:p>
        </w:tc>
        <w:tc>
          <w:tcPr>
            <w:tcW w:w="285" w:type="dxa"/>
            <w:gridSpan w:val="2"/>
            <w:tcBorders>
              <w:top w:val="nil"/>
              <w:left w:val="nil"/>
              <w:bottom w:val="nil"/>
              <w:right w:val="nil"/>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gridAfter w:val="9"/>
          <w:wAfter w:w="2831" w:type="dxa"/>
          <w:trHeight w:val="312" w:hRule="atLeast"/>
        </w:trPr>
        <w:tc>
          <w:tcPr>
            <w:tcW w:w="630" w:type="dxa"/>
            <w:tcBorders>
              <w:top w:val="nil"/>
              <w:left w:val="nil"/>
              <w:bottom w:val="nil"/>
              <w:right w:val="nil"/>
            </w:tcBorders>
            <w:noWrap/>
            <w:vAlign w:val="center"/>
          </w:tcPr>
          <w:p>
            <w:pPr>
              <w:rPr>
                <w:rFonts w:ascii="宋体" w:hAnsi="宋体" w:cs="宋体"/>
                <w:color w:val="000000"/>
                <w:sz w:val="22"/>
              </w:rPr>
            </w:pPr>
          </w:p>
        </w:tc>
        <w:tc>
          <w:tcPr>
            <w:tcW w:w="264" w:type="dxa"/>
            <w:tcBorders>
              <w:top w:val="nil"/>
              <w:left w:val="nil"/>
              <w:bottom w:val="nil"/>
              <w:right w:val="nil"/>
            </w:tcBorders>
            <w:noWrap/>
            <w:vAlign w:val="center"/>
          </w:tcPr>
          <w:p>
            <w:pPr>
              <w:rPr>
                <w:rFonts w:ascii="宋体" w:hAnsi="宋体" w:cs="宋体"/>
                <w:color w:val="000000"/>
                <w:sz w:val="22"/>
              </w:rPr>
            </w:pPr>
          </w:p>
        </w:tc>
        <w:tc>
          <w:tcPr>
            <w:tcW w:w="363" w:type="dxa"/>
            <w:gridSpan w:val="2"/>
            <w:tcBorders>
              <w:top w:val="nil"/>
              <w:left w:val="nil"/>
              <w:bottom w:val="nil"/>
              <w:right w:val="nil"/>
            </w:tcBorders>
            <w:noWrap/>
            <w:vAlign w:val="center"/>
          </w:tcPr>
          <w:p>
            <w:pPr>
              <w:rPr>
                <w:rFonts w:ascii="宋体" w:hAnsi="宋体" w:cs="宋体"/>
                <w:color w:val="000000"/>
                <w:sz w:val="22"/>
              </w:rPr>
            </w:pPr>
          </w:p>
        </w:tc>
        <w:tc>
          <w:tcPr>
            <w:tcW w:w="443" w:type="dxa"/>
            <w:gridSpan w:val="3"/>
            <w:tcBorders>
              <w:top w:val="nil"/>
              <w:left w:val="nil"/>
              <w:bottom w:val="nil"/>
              <w:right w:val="nil"/>
            </w:tcBorders>
            <w:noWrap/>
            <w:vAlign w:val="center"/>
          </w:tcPr>
          <w:p>
            <w:pPr>
              <w:rPr>
                <w:rFonts w:ascii="宋体" w:hAnsi="宋体" w:cs="宋体"/>
                <w:color w:val="000000"/>
                <w:sz w:val="22"/>
              </w:rPr>
            </w:pPr>
          </w:p>
        </w:tc>
        <w:tc>
          <w:tcPr>
            <w:tcW w:w="4187" w:type="dxa"/>
            <w:gridSpan w:val="5"/>
            <w:tcBorders>
              <w:top w:val="nil"/>
              <w:left w:val="nil"/>
              <w:bottom w:val="nil"/>
              <w:right w:val="nil"/>
            </w:tcBorders>
            <w:noWrap/>
            <w:vAlign w:val="center"/>
          </w:tcPr>
          <w:p>
            <w:pPr>
              <w:rPr>
                <w:rFonts w:ascii="宋体" w:hAnsi="宋体" w:cs="宋体"/>
                <w:color w:val="000000"/>
                <w:sz w:val="22"/>
              </w:rPr>
            </w:pPr>
          </w:p>
        </w:tc>
        <w:tc>
          <w:tcPr>
            <w:tcW w:w="828" w:type="dxa"/>
            <w:tcBorders>
              <w:top w:val="nil"/>
              <w:left w:val="nil"/>
              <w:bottom w:val="nil"/>
              <w:right w:val="nil"/>
            </w:tcBorders>
            <w:noWrap/>
            <w:vAlign w:val="center"/>
          </w:tcPr>
          <w:p>
            <w:pPr>
              <w:rPr>
                <w:rFonts w:ascii="宋体" w:hAnsi="宋体" w:cs="宋体"/>
                <w:color w:val="000000"/>
                <w:sz w:val="22"/>
              </w:rPr>
            </w:pPr>
          </w:p>
        </w:tc>
        <w:tc>
          <w:tcPr>
            <w:tcW w:w="798" w:type="dxa"/>
            <w:gridSpan w:val="3"/>
            <w:tcBorders>
              <w:top w:val="nil"/>
              <w:left w:val="nil"/>
              <w:bottom w:val="nil"/>
              <w:right w:val="nil"/>
            </w:tcBorders>
            <w:noWrap/>
            <w:vAlign w:val="center"/>
          </w:tcPr>
          <w:p>
            <w:pPr>
              <w:rPr>
                <w:rFonts w:ascii="宋体" w:hAnsi="宋体" w:cs="宋体"/>
                <w:color w:val="000000"/>
                <w:sz w:val="22"/>
              </w:rPr>
            </w:pPr>
          </w:p>
        </w:tc>
        <w:tc>
          <w:tcPr>
            <w:tcW w:w="336" w:type="dxa"/>
            <w:gridSpan w:val="2"/>
            <w:tcBorders>
              <w:top w:val="nil"/>
              <w:left w:val="nil"/>
              <w:bottom w:val="nil"/>
              <w:right w:val="nil"/>
            </w:tcBorders>
            <w:noWrap/>
            <w:vAlign w:val="center"/>
          </w:tcPr>
          <w:p>
            <w:pPr>
              <w:rPr>
                <w:rFonts w:ascii="宋体" w:hAnsi="宋体" w:cs="宋体"/>
                <w:color w:val="000000"/>
                <w:sz w:val="22"/>
              </w:rPr>
            </w:pPr>
          </w:p>
        </w:tc>
        <w:tc>
          <w:tcPr>
            <w:tcW w:w="449" w:type="dxa"/>
            <w:gridSpan w:val="2"/>
            <w:tcBorders>
              <w:top w:val="nil"/>
              <w:left w:val="nil"/>
              <w:bottom w:val="nil"/>
              <w:right w:val="nil"/>
            </w:tcBorders>
            <w:noWrap/>
            <w:vAlign w:val="center"/>
          </w:tcPr>
          <w:p>
            <w:pPr>
              <w:rPr>
                <w:rFonts w:ascii="宋体" w:hAnsi="宋体" w:cs="宋体"/>
                <w:color w:val="000000"/>
                <w:sz w:val="22"/>
              </w:rPr>
            </w:pPr>
          </w:p>
        </w:tc>
        <w:tc>
          <w:tcPr>
            <w:tcW w:w="1515" w:type="dxa"/>
            <w:gridSpan w:val="3"/>
            <w:tcBorders>
              <w:top w:val="nil"/>
              <w:left w:val="nil"/>
              <w:bottom w:val="nil"/>
              <w:right w:val="nil"/>
            </w:tcBorders>
            <w:noWrap/>
            <w:vAlign w:val="center"/>
          </w:tcPr>
          <w:p>
            <w:pPr>
              <w:rPr>
                <w:rFonts w:ascii="宋体" w:hAnsi="宋体" w:cs="宋体"/>
                <w:color w:val="000000"/>
                <w:sz w:val="22"/>
              </w:rPr>
            </w:pPr>
          </w:p>
        </w:tc>
        <w:tc>
          <w:tcPr>
            <w:tcW w:w="927" w:type="dxa"/>
            <w:gridSpan w:val="2"/>
            <w:tcBorders>
              <w:top w:val="nil"/>
              <w:left w:val="nil"/>
              <w:bottom w:val="nil"/>
              <w:right w:val="nil"/>
            </w:tcBorders>
            <w:noWrap/>
            <w:vAlign w:val="center"/>
          </w:tcPr>
          <w:p>
            <w:pPr>
              <w:rPr>
                <w:rFonts w:ascii="宋体" w:hAnsi="宋体" w:cs="宋体"/>
                <w:color w:val="000000"/>
                <w:sz w:val="22"/>
              </w:rPr>
            </w:pPr>
          </w:p>
        </w:tc>
        <w:tc>
          <w:tcPr>
            <w:tcW w:w="322" w:type="dxa"/>
            <w:tcBorders>
              <w:top w:val="nil"/>
              <w:left w:val="nil"/>
              <w:bottom w:val="nil"/>
              <w:right w:val="nil"/>
            </w:tcBorders>
            <w:noWrap/>
            <w:vAlign w:val="center"/>
          </w:tcPr>
          <w:p>
            <w:pPr>
              <w:rPr>
                <w:rFonts w:ascii="宋体" w:hAnsi="宋体" w:cs="宋体"/>
                <w:color w:val="000000"/>
                <w:sz w:val="22"/>
              </w:rPr>
            </w:pPr>
          </w:p>
        </w:tc>
        <w:tc>
          <w:tcPr>
            <w:tcW w:w="285" w:type="dxa"/>
            <w:gridSpan w:val="2"/>
            <w:tcBorders>
              <w:top w:val="nil"/>
              <w:left w:val="nil"/>
              <w:bottom w:val="nil"/>
              <w:right w:val="nil"/>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gridAfter w:val="9"/>
          <w:wAfter w:w="2831" w:type="dxa"/>
          <w:trHeight w:val="312" w:hRule="atLeast"/>
        </w:trPr>
        <w:tc>
          <w:tcPr>
            <w:tcW w:w="630" w:type="dxa"/>
            <w:tcBorders>
              <w:top w:val="nil"/>
              <w:left w:val="nil"/>
              <w:bottom w:val="nil"/>
              <w:right w:val="nil"/>
            </w:tcBorders>
            <w:noWrap/>
            <w:vAlign w:val="center"/>
          </w:tcPr>
          <w:p>
            <w:pPr>
              <w:rPr>
                <w:rFonts w:ascii="宋体" w:hAnsi="宋体" w:cs="宋体"/>
                <w:color w:val="000000"/>
                <w:sz w:val="22"/>
              </w:rPr>
            </w:pPr>
          </w:p>
        </w:tc>
        <w:tc>
          <w:tcPr>
            <w:tcW w:w="264" w:type="dxa"/>
            <w:tcBorders>
              <w:top w:val="nil"/>
              <w:left w:val="nil"/>
              <w:bottom w:val="nil"/>
              <w:right w:val="nil"/>
            </w:tcBorders>
            <w:noWrap/>
            <w:vAlign w:val="center"/>
          </w:tcPr>
          <w:p>
            <w:pPr>
              <w:rPr>
                <w:rFonts w:ascii="宋体" w:hAnsi="宋体" w:cs="宋体"/>
                <w:color w:val="000000"/>
                <w:sz w:val="22"/>
              </w:rPr>
            </w:pPr>
          </w:p>
        </w:tc>
        <w:tc>
          <w:tcPr>
            <w:tcW w:w="363" w:type="dxa"/>
            <w:gridSpan w:val="2"/>
            <w:tcBorders>
              <w:top w:val="nil"/>
              <w:left w:val="nil"/>
              <w:bottom w:val="nil"/>
              <w:right w:val="nil"/>
            </w:tcBorders>
            <w:noWrap/>
            <w:vAlign w:val="center"/>
          </w:tcPr>
          <w:p>
            <w:pPr>
              <w:rPr>
                <w:rFonts w:ascii="宋体" w:hAnsi="宋体" w:cs="宋体"/>
                <w:color w:val="000000"/>
                <w:sz w:val="22"/>
              </w:rPr>
            </w:pPr>
          </w:p>
        </w:tc>
        <w:tc>
          <w:tcPr>
            <w:tcW w:w="443" w:type="dxa"/>
            <w:gridSpan w:val="3"/>
            <w:tcBorders>
              <w:top w:val="nil"/>
              <w:left w:val="nil"/>
              <w:bottom w:val="nil"/>
              <w:right w:val="nil"/>
            </w:tcBorders>
            <w:noWrap/>
            <w:vAlign w:val="center"/>
          </w:tcPr>
          <w:p>
            <w:pPr>
              <w:rPr>
                <w:rFonts w:ascii="宋体" w:hAnsi="宋体" w:cs="宋体"/>
                <w:color w:val="000000"/>
                <w:sz w:val="22"/>
              </w:rPr>
            </w:pPr>
          </w:p>
        </w:tc>
        <w:tc>
          <w:tcPr>
            <w:tcW w:w="4187" w:type="dxa"/>
            <w:gridSpan w:val="5"/>
            <w:tcBorders>
              <w:top w:val="nil"/>
              <w:left w:val="nil"/>
              <w:bottom w:val="nil"/>
              <w:right w:val="nil"/>
            </w:tcBorders>
            <w:noWrap/>
            <w:vAlign w:val="center"/>
          </w:tcPr>
          <w:p>
            <w:pPr>
              <w:rPr>
                <w:rFonts w:ascii="宋体" w:hAnsi="宋体" w:cs="宋体"/>
                <w:color w:val="000000"/>
                <w:sz w:val="22"/>
              </w:rPr>
            </w:pPr>
          </w:p>
        </w:tc>
        <w:tc>
          <w:tcPr>
            <w:tcW w:w="828" w:type="dxa"/>
            <w:tcBorders>
              <w:top w:val="nil"/>
              <w:left w:val="nil"/>
              <w:bottom w:val="nil"/>
              <w:right w:val="nil"/>
            </w:tcBorders>
            <w:noWrap/>
            <w:vAlign w:val="center"/>
          </w:tcPr>
          <w:p>
            <w:pPr>
              <w:rPr>
                <w:rFonts w:ascii="宋体" w:hAnsi="宋体" w:cs="宋体"/>
                <w:color w:val="000000"/>
                <w:sz w:val="22"/>
              </w:rPr>
            </w:pPr>
          </w:p>
        </w:tc>
        <w:tc>
          <w:tcPr>
            <w:tcW w:w="798" w:type="dxa"/>
            <w:gridSpan w:val="3"/>
            <w:tcBorders>
              <w:top w:val="nil"/>
              <w:left w:val="nil"/>
              <w:bottom w:val="nil"/>
              <w:right w:val="nil"/>
            </w:tcBorders>
            <w:noWrap/>
            <w:vAlign w:val="center"/>
          </w:tcPr>
          <w:p>
            <w:pPr>
              <w:rPr>
                <w:rFonts w:ascii="宋体" w:hAnsi="宋体" w:cs="宋体"/>
                <w:color w:val="000000"/>
                <w:sz w:val="22"/>
              </w:rPr>
            </w:pPr>
          </w:p>
        </w:tc>
        <w:tc>
          <w:tcPr>
            <w:tcW w:w="336" w:type="dxa"/>
            <w:gridSpan w:val="2"/>
            <w:tcBorders>
              <w:top w:val="nil"/>
              <w:left w:val="nil"/>
              <w:bottom w:val="nil"/>
              <w:right w:val="nil"/>
            </w:tcBorders>
            <w:noWrap/>
            <w:vAlign w:val="center"/>
          </w:tcPr>
          <w:p>
            <w:pPr>
              <w:rPr>
                <w:rFonts w:ascii="宋体" w:hAnsi="宋体" w:cs="宋体"/>
                <w:color w:val="000000"/>
                <w:sz w:val="22"/>
              </w:rPr>
            </w:pPr>
          </w:p>
        </w:tc>
        <w:tc>
          <w:tcPr>
            <w:tcW w:w="449" w:type="dxa"/>
            <w:gridSpan w:val="2"/>
            <w:tcBorders>
              <w:top w:val="nil"/>
              <w:left w:val="nil"/>
              <w:bottom w:val="nil"/>
              <w:right w:val="nil"/>
            </w:tcBorders>
            <w:noWrap/>
            <w:vAlign w:val="center"/>
          </w:tcPr>
          <w:p>
            <w:pPr>
              <w:rPr>
                <w:rFonts w:ascii="宋体" w:hAnsi="宋体" w:cs="宋体"/>
                <w:color w:val="000000"/>
                <w:sz w:val="22"/>
              </w:rPr>
            </w:pPr>
          </w:p>
        </w:tc>
        <w:tc>
          <w:tcPr>
            <w:tcW w:w="1515" w:type="dxa"/>
            <w:gridSpan w:val="3"/>
            <w:tcBorders>
              <w:top w:val="nil"/>
              <w:left w:val="nil"/>
              <w:bottom w:val="nil"/>
              <w:right w:val="nil"/>
            </w:tcBorders>
            <w:noWrap/>
            <w:vAlign w:val="center"/>
          </w:tcPr>
          <w:p>
            <w:pPr>
              <w:rPr>
                <w:rFonts w:ascii="宋体" w:hAnsi="宋体" w:cs="宋体"/>
                <w:color w:val="000000"/>
                <w:sz w:val="22"/>
              </w:rPr>
            </w:pPr>
          </w:p>
        </w:tc>
        <w:tc>
          <w:tcPr>
            <w:tcW w:w="927" w:type="dxa"/>
            <w:gridSpan w:val="2"/>
            <w:tcBorders>
              <w:top w:val="nil"/>
              <w:left w:val="nil"/>
              <w:bottom w:val="nil"/>
              <w:right w:val="nil"/>
            </w:tcBorders>
            <w:noWrap/>
            <w:vAlign w:val="center"/>
          </w:tcPr>
          <w:p>
            <w:pPr>
              <w:rPr>
                <w:rFonts w:ascii="宋体" w:hAnsi="宋体" w:cs="宋体"/>
                <w:color w:val="000000"/>
                <w:sz w:val="22"/>
              </w:rPr>
            </w:pPr>
          </w:p>
        </w:tc>
        <w:tc>
          <w:tcPr>
            <w:tcW w:w="322" w:type="dxa"/>
            <w:tcBorders>
              <w:top w:val="nil"/>
              <w:left w:val="nil"/>
              <w:bottom w:val="nil"/>
              <w:right w:val="nil"/>
            </w:tcBorders>
            <w:noWrap/>
            <w:vAlign w:val="center"/>
          </w:tcPr>
          <w:p>
            <w:pPr>
              <w:rPr>
                <w:rFonts w:ascii="宋体" w:hAnsi="宋体" w:cs="宋体"/>
                <w:color w:val="000000"/>
                <w:sz w:val="22"/>
              </w:rPr>
            </w:pPr>
          </w:p>
        </w:tc>
        <w:tc>
          <w:tcPr>
            <w:tcW w:w="285" w:type="dxa"/>
            <w:gridSpan w:val="2"/>
            <w:tcBorders>
              <w:top w:val="nil"/>
              <w:left w:val="nil"/>
              <w:bottom w:val="nil"/>
              <w:right w:val="nil"/>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gridAfter w:val="9"/>
          <w:wAfter w:w="2831" w:type="dxa"/>
          <w:trHeight w:val="312" w:hRule="atLeast"/>
        </w:trPr>
        <w:tc>
          <w:tcPr>
            <w:tcW w:w="630" w:type="dxa"/>
            <w:tcBorders>
              <w:top w:val="nil"/>
              <w:left w:val="nil"/>
              <w:bottom w:val="nil"/>
              <w:right w:val="nil"/>
            </w:tcBorders>
            <w:noWrap/>
            <w:vAlign w:val="center"/>
          </w:tcPr>
          <w:p>
            <w:pPr>
              <w:rPr>
                <w:rFonts w:ascii="宋体" w:hAnsi="宋体" w:cs="宋体"/>
                <w:color w:val="000000"/>
                <w:sz w:val="22"/>
              </w:rPr>
            </w:pPr>
          </w:p>
        </w:tc>
        <w:tc>
          <w:tcPr>
            <w:tcW w:w="264" w:type="dxa"/>
            <w:tcBorders>
              <w:top w:val="nil"/>
              <w:left w:val="nil"/>
              <w:bottom w:val="nil"/>
              <w:right w:val="nil"/>
            </w:tcBorders>
            <w:noWrap/>
            <w:vAlign w:val="center"/>
          </w:tcPr>
          <w:p>
            <w:pPr>
              <w:rPr>
                <w:rFonts w:ascii="宋体" w:hAnsi="宋体" w:cs="宋体"/>
                <w:color w:val="000000"/>
                <w:sz w:val="22"/>
              </w:rPr>
            </w:pPr>
          </w:p>
        </w:tc>
        <w:tc>
          <w:tcPr>
            <w:tcW w:w="363" w:type="dxa"/>
            <w:gridSpan w:val="2"/>
            <w:tcBorders>
              <w:top w:val="nil"/>
              <w:left w:val="nil"/>
              <w:bottom w:val="nil"/>
              <w:right w:val="nil"/>
            </w:tcBorders>
            <w:noWrap/>
            <w:vAlign w:val="center"/>
          </w:tcPr>
          <w:p>
            <w:pPr>
              <w:rPr>
                <w:rFonts w:ascii="宋体" w:hAnsi="宋体" w:cs="宋体"/>
                <w:color w:val="000000"/>
                <w:sz w:val="22"/>
              </w:rPr>
            </w:pPr>
          </w:p>
        </w:tc>
        <w:tc>
          <w:tcPr>
            <w:tcW w:w="7041" w:type="dxa"/>
            <w:gridSpan w:val="16"/>
            <w:tcBorders>
              <w:top w:val="nil"/>
              <w:left w:val="nil"/>
              <w:bottom w:val="nil"/>
              <w:right w:val="nil"/>
            </w:tcBorders>
            <w:noWrap/>
            <w:vAlign w:val="center"/>
          </w:tcPr>
          <w:p>
            <w:pPr>
              <w:widowControl/>
              <w:jc w:val="center"/>
              <w:textAlignment w:val="center"/>
              <w:rPr>
                <w:rFonts w:ascii="宋体" w:hAnsi="宋体" w:cs="宋体"/>
                <w:color w:val="000000"/>
                <w:sz w:val="22"/>
              </w:rPr>
            </w:pPr>
          </w:p>
        </w:tc>
        <w:tc>
          <w:tcPr>
            <w:tcW w:w="1515" w:type="dxa"/>
            <w:gridSpan w:val="3"/>
            <w:tcBorders>
              <w:top w:val="nil"/>
              <w:left w:val="nil"/>
              <w:bottom w:val="nil"/>
              <w:right w:val="nil"/>
            </w:tcBorders>
            <w:noWrap/>
            <w:vAlign w:val="center"/>
          </w:tcPr>
          <w:p>
            <w:pPr>
              <w:rPr>
                <w:rFonts w:ascii="宋体" w:hAnsi="宋体" w:cs="宋体"/>
                <w:color w:val="000000"/>
                <w:sz w:val="22"/>
              </w:rPr>
            </w:pPr>
          </w:p>
        </w:tc>
        <w:tc>
          <w:tcPr>
            <w:tcW w:w="927" w:type="dxa"/>
            <w:gridSpan w:val="2"/>
            <w:tcBorders>
              <w:top w:val="nil"/>
              <w:left w:val="nil"/>
              <w:bottom w:val="nil"/>
              <w:right w:val="nil"/>
            </w:tcBorders>
            <w:noWrap/>
            <w:vAlign w:val="center"/>
          </w:tcPr>
          <w:p>
            <w:pPr>
              <w:rPr>
                <w:rFonts w:ascii="宋体" w:hAnsi="宋体" w:cs="宋体"/>
                <w:color w:val="000000"/>
                <w:sz w:val="22"/>
              </w:rPr>
            </w:pPr>
          </w:p>
        </w:tc>
        <w:tc>
          <w:tcPr>
            <w:tcW w:w="322" w:type="dxa"/>
            <w:tcBorders>
              <w:top w:val="nil"/>
              <w:left w:val="nil"/>
              <w:bottom w:val="nil"/>
              <w:right w:val="nil"/>
            </w:tcBorders>
            <w:noWrap/>
            <w:vAlign w:val="center"/>
          </w:tcPr>
          <w:p>
            <w:pPr>
              <w:rPr>
                <w:rFonts w:ascii="宋体" w:hAnsi="宋体" w:cs="宋体"/>
                <w:color w:val="000000"/>
                <w:sz w:val="22"/>
              </w:rPr>
            </w:pPr>
          </w:p>
        </w:tc>
        <w:tc>
          <w:tcPr>
            <w:tcW w:w="285" w:type="dxa"/>
            <w:gridSpan w:val="2"/>
            <w:tcBorders>
              <w:top w:val="nil"/>
              <w:left w:val="nil"/>
              <w:bottom w:val="nil"/>
              <w:right w:val="nil"/>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gridAfter w:val="1"/>
          <w:wAfter w:w="538" w:type="dxa"/>
          <w:trHeight w:val="570" w:hRule="atLeast"/>
        </w:trPr>
        <w:tc>
          <w:tcPr>
            <w:tcW w:w="13640" w:type="dxa"/>
            <w:gridSpan w:val="36"/>
            <w:tcBorders>
              <w:top w:val="nil"/>
              <w:left w:val="nil"/>
              <w:bottom w:val="nil"/>
              <w:right w:val="nil"/>
            </w:tcBorders>
            <w:shd w:val="clear" w:color="auto" w:fill="auto"/>
            <w:vAlign w:val="center"/>
          </w:tcPr>
          <w:p>
            <w:pPr>
              <w:widowControl/>
              <w:ind w:right="360"/>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p>
            <w:pPr>
              <w:widowControl/>
              <w:ind w:right="360"/>
              <w:jc w:val="center"/>
              <w:rPr>
                <w:rFonts w:ascii="宋体" w:hAnsi="宋体" w:cs="宋体"/>
                <w:color w:val="000000"/>
                <w:kern w:val="0"/>
                <w:sz w:val="18"/>
                <w:szCs w:val="18"/>
              </w:rPr>
            </w:pPr>
          </w:p>
          <w:p>
            <w:pPr>
              <w:widowControl/>
              <w:ind w:right="360"/>
              <w:jc w:val="center"/>
              <w:rPr>
                <w:rFonts w:ascii="宋体" w:hAnsi="宋体" w:cs="宋体"/>
                <w:color w:val="000000"/>
                <w:kern w:val="0"/>
                <w:sz w:val="18"/>
                <w:szCs w:val="18"/>
              </w:rPr>
            </w:pPr>
          </w:p>
          <w:p>
            <w:pPr>
              <w:widowControl/>
              <w:ind w:right="360"/>
              <w:jc w:val="center"/>
              <w:rPr>
                <w:rFonts w:ascii="宋体" w:hAnsi="宋体" w:cs="宋体"/>
                <w:color w:val="000000"/>
                <w:kern w:val="0"/>
                <w:sz w:val="18"/>
                <w:szCs w:val="18"/>
              </w:rPr>
            </w:pPr>
            <w:r>
              <w:rPr>
                <w:rFonts w:hint="eastAsia"/>
                <w:sz w:val="18"/>
                <w:szCs w:val="18"/>
              </w:rPr>
              <w:t xml:space="preserve">                                                                                                                                       预算10表</w:t>
            </w:r>
          </w:p>
          <w:p>
            <w:pPr>
              <w:widowControl/>
              <w:ind w:right="360"/>
              <w:jc w:val="center"/>
              <w:rPr>
                <w:rFonts w:ascii="宋体" w:hAnsi="宋体" w:cs="宋体"/>
                <w:color w:val="000000"/>
                <w:kern w:val="0"/>
                <w:sz w:val="18"/>
                <w:szCs w:val="18"/>
              </w:rPr>
            </w:pPr>
            <w:r>
              <w:rPr>
                <w:rFonts w:hint="eastAsia" w:ascii="宋体" w:hAnsi="宋体" w:cs="宋体"/>
                <w:b/>
                <w:bCs/>
                <w:kern w:val="0"/>
                <w:sz w:val="38"/>
                <w:szCs w:val="38"/>
              </w:rPr>
              <w:t>2022年国有资本经营支出预算表</w:t>
            </w:r>
          </w:p>
        </w:tc>
      </w:tr>
      <w:tr>
        <w:tblPrEx>
          <w:tblCellMar>
            <w:top w:w="0" w:type="dxa"/>
            <w:left w:w="108" w:type="dxa"/>
            <w:bottom w:w="0" w:type="dxa"/>
            <w:right w:w="108" w:type="dxa"/>
          </w:tblCellMar>
        </w:tblPrEx>
        <w:trPr>
          <w:gridAfter w:val="1"/>
          <w:wAfter w:w="538" w:type="dxa"/>
          <w:trHeight w:val="285" w:hRule="atLeast"/>
        </w:trPr>
        <w:tc>
          <w:tcPr>
            <w:tcW w:w="1637" w:type="dxa"/>
            <w:gridSpan w:val="6"/>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部门名称：</w:t>
            </w:r>
          </w:p>
        </w:tc>
        <w:tc>
          <w:tcPr>
            <w:tcW w:w="10325" w:type="dxa"/>
            <w:gridSpan w:val="26"/>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伊川县档案馆</w:t>
            </w:r>
          </w:p>
        </w:tc>
        <w:tc>
          <w:tcPr>
            <w:tcW w:w="1678" w:type="dxa"/>
            <w:gridSpan w:val="4"/>
            <w:tcBorders>
              <w:top w:val="nil"/>
              <w:left w:val="nil"/>
              <w:bottom w:val="nil"/>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gridAfter w:val="1"/>
          <w:wAfter w:w="538" w:type="dxa"/>
          <w:trHeight w:val="285" w:hRule="atLeast"/>
        </w:trPr>
        <w:tc>
          <w:tcPr>
            <w:tcW w:w="163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科目编码</w:t>
            </w:r>
          </w:p>
        </w:tc>
        <w:tc>
          <w:tcPr>
            <w:tcW w:w="7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单位代码</w:t>
            </w:r>
          </w:p>
        </w:tc>
        <w:tc>
          <w:tcPr>
            <w:tcW w:w="3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单位（科目名称）</w:t>
            </w:r>
          </w:p>
        </w:tc>
        <w:tc>
          <w:tcPr>
            <w:tcW w:w="9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4394"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基本支出  </w:t>
            </w:r>
          </w:p>
        </w:tc>
        <w:tc>
          <w:tcPr>
            <w:tcW w:w="2475"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r>
      <w:tr>
        <w:tblPrEx>
          <w:tblCellMar>
            <w:top w:w="0" w:type="dxa"/>
            <w:left w:w="108" w:type="dxa"/>
            <w:bottom w:w="0" w:type="dxa"/>
            <w:right w:w="108" w:type="dxa"/>
          </w:tblCellMar>
        </w:tblPrEx>
        <w:trPr>
          <w:gridAfter w:val="1"/>
          <w:wAfter w:w="538" w:type="dxa"/>
          <w:trHeight w:val="285" w:hRule="atLeast"/>
        </w:trPr>
        <w:tc>
          <w:tcPr>
            <w:tcW w:w="1637"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3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40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99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99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84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人员经费</w:t>
            </w:r>
          </w:p>
        </w:tc>
        <w:tc>
          <w:tcPr>
            <w:tcW w:w="155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公用经费</w:t>
            </w:r>
          </w:p>
        </w:tc>
        <w:tc>
          <w:tcPr>
            <w:tcW w:w="567"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85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其他运转类</w:t>
            </w:r>
          </w:p>
        </w:tc>
        <w:tc>
          <w:tcPr>
            <w:tcW w:w="105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特定目标类</w:t>
            </w:r>
          </w:p>
        </w:tc>
      </w:tr>
      <w:tr>
        <w:tblPrEx>
          <w:tblCellMar>
            <w:top w:w="0" w:type="dxa"/>
            <w:left w:w="108" w:type="dxa"/>
            <w:bottom w:w="0" w:type="dxa"/>
            <w:right w:w="108" w:type="dxa"/>
          </w:tblCellMar>
        </w:tblPrEx>
        <w:trPr>
          <w:gridAfter w:val="1"/>
          <w:wAfter w:w="538" w:type="dxa"/>
          <w:trHeight w:val="679"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5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73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40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99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99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工资福利支出</w:t>
            </w:r>
          </w:p>
        </w:tc>
        <w:tc>
          <w:tcPr>
            <w:tcW w:w="99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对个人和家庭的补助</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商品和服务支出</w:t>
            </w:r>
          </w:p>
        </w:tc>
        <w:tc>
          <w:tcPr>
            <w:tcW w:w="85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资本性支出</w:t>
            </w:r>
          </w:p>
        </w:tc>
        <w:tc>
          <w:tcPr>
            <w:tcW w:w="567"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5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5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gridAfter w:val="1"/>
          <w:wAfter w:w="538" w:type="dxa"/>
          <w:trHeight w:val="28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5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3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40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99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5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538" w:type="dxa"/>
          <w:trHeight w:val="28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51"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39"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0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5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538" w:type="dxa"/>
          <w:trHeight w:val="28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5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51"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39"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0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5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0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5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5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538" w:type="dxa"/>
          <w:trHeight w:val="270" w:hRule="atLeast"/>
        </w:trPr>
        <w:tc>
          <w:tcPr>
            <w:tcW w:w="63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556"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51"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739"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402"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93"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92"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0" w:type="dxa"/>
            <w:gridSpan w:val="4"/>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9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708"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1"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567" w:type="dxa"/>
            <w:gridSpan w:val="4"/>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0"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58"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1"/>
          <w:wAfter w:w="538" w:type="dxa"/>
          <w:trHeight w:val="270" w:hRule="atLeast"/>
        </w:trPr>
        <w:tc>
          <w:tcPr>
            <w:tcW w:w="63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556"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51"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739"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7230" w:type="dxa"/>
            <w:gridSpan w:val="13"/>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708"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1"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567" w:type="dxa"/>
            <w:gridSpan w:val="4"/>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850"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058"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bl>
    <w:p>
      <w:pPr>
        <w:sectPr>
          <w:pgSz w:w="16838" w:h="11906" w:orient="landscape"/>
          <w:pgMar w:top="1800" w:right="1440" w:bottom="1800" w:left="1440" w:header="851" w:footer="992" w:gutter="0"/>
          <w:pgNumType w:fmt="numberInDash"/>
          <w:cols w:space="425" w:num="1"/>
          <w:docGrid w:type="lines" w:linePitch="312" w:charSpace="0"/>
        </w:sectPr>
      </w:pPr>
      <w:r>
        <w:rPr>
          <w:rFonts w:hint="eastAsia"/>
        </w:rPr>
        <w:t>备注：伊川县档案馆2022年无国有资本经营预算拨款安排的支出，故此表无数据。</w:t>
      </w:r>
    </w:p>
    <w:tbl>
      <w:tblPr>
        <w:tblStyle w:val="4"/>
        <w:tblW w:w="14100" w:type="dxa"/>
        <w:tblInd w:w="93" w:type="dxa"/>
        <w:tblLayout w:type="autofit"/>
        <w:tblCellMar>
          <w:top w:w="0" w:type="dxa"/>
          <w:left w:w="108" w:type="dxa"/>
          <w:bottom w:w="0" w:type="dxa"/>
          <w:right w:w="108" w:type="dxa"/>
        </w:tblCellMar>
      </w:tblPr>
      <w:tblGrid>
        <w:gridCol w:w="1170"/>
        <w:gridCol w:w="1964"/>
        <w:gridCol w:w="1559"/>
        <w:gridCol w:w="992"/>
        <w:gridCol w:w="993"/>
        <w:gridCol w:w="1134"/>
        <w:gridCol w:w="1275"/>
        <w:gridCol w:w="993"/>
        <w:gridCol w:w="992"/>
        <w:gridCol w:w="1134"/>
        <w:gridCol w:w="850"/>
        <w:gridCol w:w="1044"/>
      </w:tblGrid>
      <w:tr>
        <w:tblPrEx>
          <w:tblCellMar>
            <w:top w:w="0" w:type="dxa"/>
            <w:left w:w="108" w:type="dxa"/>
            <w:bottom w:w="0" w:type="dxa"/>
            <w:right w:w="108" w:type="dxa"/>
          </w:tblCellMar>
        </w:tblPrEx>
        <w:trPr>
          <w:trHeight w:val="285" w:hRule="atLeast"/>
        </w:trPr>
        <w:tc>
          <w:tcPr>
            <w:tcW w:w="14100" w:type="dxa"/>
            <w:gridSpan w:val="12"/>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预算11表</w:t>
            </w:r>
          </w:p>
        </w:tc>
      </w:tr>
      <w:tr>
        <w:tblPrEx>
          <w:tblCellMar>
            <w:top w:w="0" w:type="dxa"/>
            <w:left w:w="108" w:type="dxa"/>
            <w:bottom w:w="0" w:type="dxa"/>
            <w:right w:w="108" w:type="dxa"/>
          </w:tblCellMar>
        </w:tblPrEx>
        <w:trPr>
          <w:trHeight w:val="570" w:hRule="atLeast"/>
        </w:trPr>
        <w:tc>
          <w:tcPr>
            <w:tcW w:w="14100" w:type="dxa"/>
            <w:gridSpan w:val="12"/>
            <w:tcBorders>
              <w:top w:val="nil"/>
              <w:left w:val="nil"/>
              <w:bottom w:val="nil"/>
              <w:right w:val="nil"/>
            </w:tcBorders>
            <w:vAlign w:val="center"/>
          </w:tcPr>
          <w:p>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rPr>
              <w:t>2022年项目支出预算表</w:t>
            </w:r>
          </w:p>
        </w:tc>
      </w:tr>
      <w:tr>
        <w:tblPrEx>
          <w:tblCellMar>
            <w:top w:w="0" w:type="dxa"/>
            <w:left w:w="108" w:type="dxa"/>
            <w:bottom w:w="0" w:type="dxa"/>
            <w:right w:w="108" w:type="dxa"/>
          </w:tblCellMar>
        </w:tblPrEx>
        <w:trPr>
          <w:trHeight w:val="285" w:hRule="atLeast"/>
        </w:trPr>
        <w:tc>
          <w:tcPr>
            <w:tcW w:w="1170" w:type="dxa"/>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部门名称：</w:t>
            </w:r>
          </w:p>
        </w:tc>
        <w:tc>
          <w:tcPr>
            <w:tcW w:w="11886" w:type="dxa"/>
            <w:gridSpan w:val="10"/>
            <w:tcBorders>
              <w:top w:val="nil"/>
              <w:left w:val="nil"/>
              <w:bottom w:val="nil"/>
              <w:right w:val="nil"/>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w:t>
            </w:r>
            <w:r>
              <w:rPr>
                <w:rFonts w:hint="eastAsia" w:ascii="宋体" w:hAnsi="宋体" w:cs="宋体"/>
                <w:color w:val="000000"/>
                <w:kern w:val="0"/>
                <w:sz w:val="18"/>
                <w:szCs w:val="18"/>
              </w:rPr>
              <w:t>档案馆</w:t>
            </w:r>
          </w:p>
        </w:tc>
        <w:tc>
          <w:tcPr>
            <w:tcW w:w="1044" w:type="dxa"/>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单位：万元</w:t>
            </w:r>
          </w:p>
        </w:tc>
      </w:tr>
      <w:tr>
        <w:tblPrEx>
          <w:tblCellMar>
            <w:top w:w="0" w:type="dxa"/>
            <w:left w:w="108" w:type="dxa"/>
            <w:bottom w:w="0" w:type="dxa"/>
            <w:right w:w="108"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类型</w:t>
            </w:r>
          </w:p>
        </w:tc>
        <w:tc>
          <w:tcPr>
            <w:tcW w:w="19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项目单位</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4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本年拨款</w:t>
            </w:r>
          </w:p>
        </w:tc>
        <w:tc>
          <w:tcPr>
            <w:tcW w:w="31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财政拨款结转结余</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0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r>
      <w:tr>
        <w:tblPrEx>
          <w:tblCellMar>
            <w:top w:w="0" w:type="dxa"/>
            <w:left w:w="108" w:type="dxa"/>
            <w:bottom w:w="0" w:type="dxa"/>
            <w:right w:w="108" w:type="dxa"/>
          </w:tblCellMar>
        </w:tblPrEx>
        <w:trPr>
          <w:trHeight w:val="454"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一般公共预算</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政府性基金预算</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国有资本经营预算</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一般公共预算</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政府性基金预算</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国有资本经营预算</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0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sz w:val="18"/>
                <w:szCs w:val="18"/>
              </w:rPr>
              <w:t>　</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sz w:val="18"/>
                <w:szCs w:val="18"/>
              </w:rPr>
              <w:t>　</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sz w:val="18"/>
                <w:szCs w:val="18"/>
              </w:rPr>
              <w:t>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r>
              <w:rPr>
                <w:rFonts w:hint="eastAsia"/>
                <w:sz w:val="18"/>
                <w:szCs w:val="18"/>
              </w:rPr>
              <w:t>21.00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r>
              <w:rPr>
                <w:rFonts w:hint="eastAsia"/>
                <w:sz w:val="18"/>
                <w:szCs w:val="18"/>
              </w:rPr>
              <w:t>21.00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sz w:val="18"/>
                <w:szCs w:val="18"/>
              </w:rPr>
              <w:t>　</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sz w:val="18"/>
                <w:szCs w:val="18"/>
              </w:rPr>
              <w:t>202</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sz w:val="18"/>
                <w:szCs w:val="18"/>
              </w:rPr>
              <w:t>伊川县档案馆</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r>
              <w:rPr>
                <w:rFonts w:hint="eastAsia"/>
                <w:sz w:val="18"/>
                <w:szCs w:val="18"/>
              </w:rPr>
              <w:t>21.00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r>
              <w:rPr>
                <w:rFonts w:hint="eastAsia"/>
                <w:sz w:val="18"/>
                <w:szCs w:val="18"/>
              </w:rPr>
              <w:t>21.00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sz w:val="18"/>
                <w:szCs w:val="18"/>
              </w:rPr>
              <w:t>其他运转类</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sz w:val="18"/>
                <w:szCs w:val="18"/>
              </w:rPr>
              <w:t>档案馆（档案征集、抢修、保护编纂、修复、整理等）</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sz w:val="18"/>
                <w:szCs w:val="18"/>
              </w:rPr>
              <w:t>伊川县档案馆</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r>
              <w:rPr>
                <w:rFonts w:hint="eastAsia"/>
                <w:sz w:val="18"/>
                <w:szCs w:val="18"/>
              </w:rPr>
              <w:t>21.00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r>
              <w:rPr>
                <w:rFonts w:hint="eastAsia"/>
                <w:sz w:val="18"/>
                <w:szCs w:val="18"/>
              </w:rPr>
              <w:t>21.00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45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sz w:val="18"/>
                <w:szCs w:val="18"/>
              </w:rPr>
              <w:t>　</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sz w:val="18"/>
                <w:szCs w:val="18"/>
              </w:rPr>
              <w:t>　</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sz w:val="18"/>
                <w:szCs w:val="18"/>
              </w:rPr>
              <w:t>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r>
              <w:rPr>
                <w:rFonts w:hint="eastAsia"/>
                <w:sz w:val="18"/>
                <w:szCs w:val="18"/>
              </w:rPr>
              <w:t>21.00</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r>
              <w:rPr>
                <w:rFonts w:hint="eastAsia"/>
                <w:sz w:val="18"/>
                <w:szCs w:val="18"/>
              </w:rPr>
              <w:t>21.00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bl>
    <w:p>
      <w:pPr>
        <w:sectPr>
          <w:pgSz w:w="16838" w:h="11906" w:orient="landscape"/>
          <w:pgMar w:top="1800" w:right="1440" w:bottom="1800" w:left="1440" w:header="851" w:footer="992" w:gutter="0"/>
          <w:pgNumType w:fmt="numberInDash"/>
          <w:cols w:space="425" w:num="1"/>
          <w:docGrid w:type="lines" w:linePitch="312" w:charSpace="0"/>
        </w:sectPr>
      </w:pPr>
    </w:p>
    <w:tbl>
      <w:tblPr>
        <w:tblStyle w:val="4"/>
        <w:tblW w:w="9420" w:type="dxa"/>
        <w:tblInd w:w="93" w:type="dxa"/>
        <w:tblLayout w:type="autofit"/>
        <w:tblCellMar>
          <w:top w:w="0" w:type="dxa"/>
          <w:left w:w="108" w:type="dxa"/>
          <w:bottom w:w="0" w:type="dxa"/>
          <w:right w:w="108" w:type="dxa"/>
        </w:tblCellMar>
      </w:tblPr>
      <w:tblGrid>
        <w:gridCol w:w="1350"/>
        <w:gridCol w:w="1455"/>
        <w:gridCol w:w="2205"/>
        <w:gridCol w:w="1170"/>
        <w:gridCol w:w="3240"/>
      </w:tblGrid>
      <w:tr>
        <w:tblPrEx>
          <w:tblCellMar>
            <w:top w:w="0" w:type="dxa"/>
            <w:left w:w="108" w:type="dxa"/>
            <w:bottom w:w="0" w:type="dxa"/>
            <w:right w:w="108" w:type="dxa"/>
          </w:tblCellMar>
        </w:tblPrEx>
        <w:trPr>
          <w:trHeight w:val="285" w:hRule="atLeast"/>
        </w:trPr>
        <w:tc>
          <w:tcPr>
            <w:tcW w:w="1350" w:type="dxa"/>
            <w:tcBorders>
              <w:top w:val="nil"/>
              <w:left w:val="nil"/>
              <w:bottom w:val="nil"/>
              <w:right w:val="nil"/>
            </w:tcBorders>
            <w:noWrap/>
            <w:vAlign w:val="center"/>
          </w:tcPr>
          <w:p>
            <w:pPr>
              <w:rPr>
                <w:rFonts w:ascii="宋体" w:hAnsi="宋体" w:cs="宋体"/>
                <w:color w:val="000000"/>
                <w:sz w:val="22"/>
              </w:rPr>
            </w:pPr>
          </w:p>
        </w:tc>
        <w:tc>
          <w:tcPr>
            <w:tcW w:w="1455" w:type="dxa"/>
            <w:tcBorders>
              <w:top w:val="nil"/>
              <w:left w:val="nil"/>
              <w:bottom w:val="nil"/>
              <w:right w:val="nil"/>
            </w:tcBorders>
            <w:noWrap/>
            <w:vAlign w:val="center"/>
          </w:tcPr>
          <w:p>
            <w:pPr>
              <w:rPr>
                <w:rFonts w:ascii="宋体" w:hAnsi="宋体" w:cs="宋体"/>
                <w:color w:val="000000"/>
                <w:sz w:val="22"/>
              </w:rPr>
            </w:pPr>
          </w:p>
        </w:tc>
        <w:tc>
          <w:tcPr>
            <w:tcW w:w="2205" w:type="dxa"/>
            <w:tcBorders>
              <w:top w:val="nil"/>
              <w:left w:val="nil"/>
              <w:bottom w:val="nil"/>
              <w:right w:val="nil"/>
            </w:tcBorders>
            <w:noWrap/>
            <w:vAlign w:val="center"/>
          </w:tcPr>
          <w:p>
            <w:pPr>
              <w:rPr>
                <w:rFonts w:ascii="宋体" w:hAnsi="宋体" w:cs="宋体"/>
                <w:color w:val="000000"/>
                <w:sz w:val="22"/>
              </w:rPr>
            </w:pPr>
          </w:p>
        </w:tc>
        <w:tc>
          <w:tcPr>
            <w:tcW w:w="1170" w:type="dxa"/>
            <w:tcBorders>
              <w:top w:val="nil"/>
              <w:left w:val="nil"/>
              <w:bottom w:val="nil"/>
              <w:right w:val="nil"/>
            </w:tcBorders>
            <w:noWrap/>
            <w:vAlign w:val="center"/>
          </w:tcPr>
          <w:p>
            <w:pPr>
              <w:rPr>
                <w:rFonts w:ascii="宋体" w:hAnsi="宋体" w:cs="宋体"/>
                <w:color w:val="000000"/>
                <w:sz w:val="22"/>
              </w:rPr>
            </w:pPr>
          </w:p>
        </w:tc>
        <w:tc>
          <w:tcPr>
            <w:tcW w:w="3240" w:type="dxa"/>
            <w:tcBorders>
              <w:top w:val="nil"/>
              <w:left w:val="nil"/>
              <w:bottom w:val="nil"/>
              <w:right w:val="nil"/>
            </w:tcBorders>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rPr>
              <w:t>预算12表</w:t>
            </w:r>
          </w:p>
        </w:tc>
      </w:tr>
      <w:tr>
        <w:tblPrEx>
          <w:tblCellMar>
            <w:top w:w="0" w:type="dxa"/>
            <w:left w:w="108" w:type="dxa"/>
            <w:bottom w:w="0" w:type="dxa"/>
            <w:right w:w="108" w:type="dxa"/>
          </w:tblCellMar>
        </w:tblPrEx>
        <w:trPr>
          <w:trHeight w:val="570" w:hRule="atLeast"/>
        </w:trPr>
        <w:tc>
          <w:tcPr>
            <w:tcW w:w="9420" w:type="dxa"/>
            <w:gridSpan w:val="5"/>
            <w:tcBorders>
              <w:top w:val="nil"/>
              <w:left w:val="nil"/>
              <w:bottom w:val="nil"/>
              <w:right w:val="nil"/>
            </w:tcBorders>
            <w:vAlign w:val="center"/>
          </w:tcPr>
          <w:p>
            <w:pPr>
              <w:widowControl/>
              <w:jc w:val="center"/>
              <w:textAlignment w:val="center"/>
              <w:rPr>
                <w:rFonts w:ascii="宋体" w:hAnsi="宋体" w:cs="宋体"/>
                <w:b/>
                <w:bCs/>
                <w:color w:val="000000"/>
                <w:sz w:val="38"/>
                <w:szCs w:val="38"/>
              </w:rPr>
            </w:pPr>
            <w:r>
              <w:rPr>
                <w:rFonts w:ascii="宋体" w:hAnsi="宋体" w:cs="宋体"/>
                <w:b/>
                <w:bCs/>
                <w:color w:val="000000"/>
                <w:kern w:val="0"/>
                <w:sz w:val="38"/>
                <w:szCs w:val="38"/>
              </w:rPr>
              <w:t>本级部门(单位)整体绩效目标表</w:t>
            </w:r>
          </w:p>
        </w:tc>
      </w:tr>
      <w:tr>
        <w:tblPrEx>
          <w:tblCellMar>
            <w:top w:w="0" w:type="dxa"/>
            <w:left w:w="108" w:type="dxa"/>
            <w:bottom w:w="0" w:type="dxa"/>
            <w:right w:w="108" w:type="dxa"/>
          </w:tblCellMar>
        </w:tblPrEx>
        <w:trPr>
          <w:trHeight w:val="285" w:hRule="atLeast"/>
        </w:trPr>
        <w:tc>
          <w:tcPr>
            <w:tcW w:w="9420" w:type="dxa"/>
            <w:gridSpan w:val="5"/>
            <w:tcBorders>
              <w:top w:val="nil"/>
              <w:left w:val="nil"/>
              <w:bottom w:val="nil"/>
              <w:right w:val="nil"/>
            </w:tcBorders>
            <w:vAlign w:val="center"/>
          </w:tcPr>
          <w:p>
            <w:pPr>
              <w:widowControl/>
              <w:jc w:val="center"/>
              <w:textAlignment w:val="center"/>
              <w:rPr>
                <w:rFonts w:ascii="宋体" w:hAnsi="宋体" w:cs="宋体"/>
                <w:b/>
                <w:bCs/>
                <w:color w:val="000000"/>
                <w:sz w:val="24"/>
                <w:szCs w:val="24"/>
              </w:rPr>
            </w:pPr>
            <w:r>
              <w:rPr>
                <w:rFonts w:ascii="宋体" w:hAnsi="宋体" w:cs="宋体"/>
                <w:b/>
                <w:bCs/>
                <w:color w:val="000000"/>
                <w:kern w:val="0"/>
                <w:sz w:val="24"/>
                <w:szCs w:val="24"/>
              </w:rPr>
              <w:t xml:space="preserve">（2022年度）  </w:t>
            </w:r>
          </w:p>
        </w:tc>
      </w:tr>
      <w:tr>
        <w:tblPrEx>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部门（单位）名称  </w:t>
            </w:r>
          </w:p>
        </w:tc>
        <w:tc>
          <w:tcPr>
            <w:tcW w:w="661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伊川县</w:t>
            </w:r>
            <w:r>
              <w:rPr>
                <w:rFonts w:hint="eastAsia" w:ascii="宋体" w:hAnsi="宋体" w:cs="宋体"/>
                <w:color w:val="000000"/>
                <w:kern w:val="0"/>
                <w:sz w:val="18"/>
                <w:szCs w:val="18"/>
              </w:rPr>
              <w:t>档案馆</w:t>
            </w:r>
          </w:p>
        </w:tc>
      </w:tr>
      <w:tr>
        <w:tblPrEx>
          <w:tblCellMar>
            <w:top w:w="0" w:type="dxa"/>
            <w:left w:w="108" w:type="dxa"/>
            <w:bottom w:w="0" w:type="dxa"/>
            <w:right w:w="108" w:type="dxa"/>
          </w:tblCellMar>
        </w:tblPrEx>
        <w:trPr>
          <w:trHeight w:val="855" w:hRule="atLeast"/>
        </w:trPr>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年度履职目标</w:t>
            </w:r>
          </w:p>
        </w:tc>
        <w:tc>
          <w:tcPr>
            <w:tcW w:w="807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负责档案接收、征集、保管、整理、管理等工作，加强档案业务建设，加强档案库房及馆藏档案资料保管利用工作，做好档案数字化工作。</w:t>
            </w:r>
          </w:p>
        </w:tc>
      </w:tr>
      <w:tr>
        <w:tblPrEx>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任务名称</w:t>
            </w:r>
          </w:p>
        </w:tc>
        <w:tc>
          <w:tcPr>
            <w:tcW w:w="4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主要内容</w:t>
            </w:r>
          </w:p>
        </w:tc>
      </w:tr>
      <w:tr>
        <w:tblPrEx>
          <w:tblCellMar>
            <w:top w:w="0" w:type="dxa"/>
            <w:left w:w="108" w:type="dxa"/>
            <w:bottom w:w="0" w:type="dxa"/>
            <w:right w:w="108" w:type="dxa"/>
          </w:tblCellMar>
        </w:tblPrEx>
        <w:trPr>
          <w:trHeight w:val="679"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档案接收工作、做好档案数字化工作、优化服务满足社会各界查档用档需求</w:t>
            </w:r>
          </w:p>
        </w:tc>
        <w:tc>
          <w:tcPr>
            <w:tcW w:w="4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做好档案接收工作、开展档案数字化工作为查阅档案利用者提供优质服务</w:t>
            </w:r>
          </w:p>
        </w:tc>
      </w:tr>
      <w:tr>
        <w:tblPrEx>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部门预算总额（万元）</w:t>
            </w:r>
          </w:p>
        </w:tc>
        <w:tc>
          <w:tcPr>
            <w:tcW w:w="4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122.68</w:t>
            </w:r>
          </w:p>
        </w:tc>
      </w:tr>
      <w:tr>
        <w:tblPrEx>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1、资金来源：（1）政府预算资金</w:t>
            </w:r>
          </w:p>
        </w:tc>
        <w:tc>
          <w:tcPr>
            <w:tcW w:w="4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122.68</w:t>
            </w:r>
          </w:p>
        </w:tc>
      </w:tr>
      <w:tr>
        <w:tblPrEx>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（2）财政专户管理资金</w:t>
            </w:r>
          </w:p>
        </w:tc>
        <w:tc>
          <w:tcPr>
            <w:tcW w:w="44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（3）单位资金</w:t>
            </w:r>
          </w:p>
        </w:tc>
        <w:tc>
          <w:tcPr>
            <w:tcW w:w="44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2、资金结构：（1）基本支出</w:t>
            </w:r>
          </w:p>
        </w:tc>
        <w:tc>
          <w:tcPr>
            <w:tcW w:w="4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101.68</w:t>
            </w:r>
          </w:p>
        </w:tc>
      </w:tr>
      <w:tr>
        <w:tblPrEx>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6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       （2）项目支出</w:t>
            </w:r>
          </w:p>
        </w:tc>
        <w:tc>
          <w:tcPr>
            <w:tcW w:w="4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r>
      <w:tr>
        <w:tblPrEx>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指标值说明</w:t>
            </w:r>
          </w:p>
        </w:tc>
      </w:tr>
      <w:tr>
        <w:tblPrEx>
          <w:tblCellMar>
            <w:top w:w="0" w:type="dxa"/>
            <w:left w:w="108" w:type="dxa"/>
            <w:bottom w:w="0" w:type="dxa"/>
            <w:right w:w="108" w:type="dxa"/>
          </w:tblCellMar>
        </w:tblPrEx>
        <w:trPr>
          <w:trHeight w:val="1808" w:hRule="atLeast"/>
        </w:trPr>
        <w:tc>
          <w:tcPr>
            <w:tcW w:w="1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年度履职目标相关性</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相关</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CellMar>
            <w:top w:w="0" w:type="dxa"/>
            <w:left w:w="108" w:type="dxa"/>
            <w:bottom w:w="0" w:type="dxa"/>
            <w:right w:w="108" w:type="dxa"/>
          </w:tblCellMar>
        </w:tblPrEx>
        <w:trPr>
          <w:trHeight w:val="1583"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工作任务科学性</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科学</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CellMar>
            <w:top w:w="0" w:type="dxa"/>
            <w:left w:w="108" w:type="dxa"/>
            <w:bottom w:w="0" w:type="dxa"/>
            <w:right w:w="108" w:type="dxa"/>
          </w:tblCellMar>
        </w:tblPrEx>
        <w:trPr>
          <w:trHeight w:val="1583"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绩效指标合理性</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合理</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CellMar>
            <w:top w:w="0" w:type="dxa"/>
            <w:left w:w="108" w:type="dxa"/>
            <w:bottom w:w="0" w:type="dxa"/>
            <w:right w:w="108" w:type="dxa"/>
          </w:tblCellMar>
        </w:tblPrEx>
        <w:trPr>
          <w:trHeight w:val="679"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预算和财务管理  </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预算编制完整性</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完整</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1.部门所有收入是否全部纳入部门预算；2.部门支出预算是否统筹各类资金来源，全部纳入部门预算管理。</w:t>
            </w:r>
          </w:p>
        </w:tc>
      </w:tr>
      <w:tr>
        <w:tblPrEx>
          <w:tblCellMar>
            <w:top w:w="0" w:type="dxa"/>
            <w:left w:w="108" w:type="dxa"/>
            <w:bottom w:w="0" w:type="dxa"/>
            <w:right w:w="108" w:type="dxa"/>
          </w:tblCellMar>
        </w:tblPrEx>
        <w:trPr>
          <w:trHeight w:val="679"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专项资金细化率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≥90%</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专项资金细化率=（已细化到具体市县和承担单位的资金数/部门参与分配资金总数）×100%。</w:t>
            </w:r>
          </w:p>
        </w:tc>
      </w:tr>
      <w:tr>
        <w:tblPrEx>
          <w:tblCellMar>
            <w:top w:w="0" w:type="dxa"/>
            <w:left w:w="108" w:type="dxa"/>
            <w:bottom w:w="0" w:type="dxa"/>
            <w:right w:w="108" w:type="dxa"/>
          </w:tblCellMar>
        </w:tblPrEx>
        <w:trPr>
          <w:trHeight w:val="904"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≥90%</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预算执行率=（预算完成数/预算数）×100%。预算完成数指部门实际执行的预算数；预算数指财政部门批复的本年度部门的（调整）预算数。</w:t>
            </w:r>
          </w:p>
        </w:tc>
      </w:tr>
      <w:tr>
        <w:tblPrEx>
          <w:tblCellMar>
            <w:top w:w="0" w:type="dxa"/>
            <w:left w:w="108" w:type="dxa"/>
            <w:bottom w:w="0" w:type="dxa"/>
            <w:right w:w="108" w:type="dxa"/>
          </w:tblCellMar>
        </w:tblPrEx>
        <w:trPr>
          <w:trHeight w:val="1583"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预算调整率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≤30%</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CellMar>
            <w:top w:w="0" w:type="dxa"/>
            <w:left w:w="108" w:type="dxa"/>
            <w:bottom w:w="0" w:type="dxa"/>
            <w:right w:w="108" w:type="dxa"/>
          </w:tblCellMar>
        </w:tblPrEx>
        <w:trPr>
          <w:trHeight w:val="1129"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结转结余率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≤20%</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结转结余率=结转结余总额/预算数*100%。结转结余总额是指部门本年度的结转结余资金之和。预算数是指财政部门批复的本年度部门的（调整）预算数。</w:t>
            </w:r>
          </w:p>
        </w:tc>
      </w:tr>
      <w:tr>
        <w:tblPrEx>
          <w:tblCellMar>
            <w:top w:w="0" w:type="dxa"/>
            <w:left w:w="108" w:type="dxa"/>
            <w:bottom w:w="0" w:type="dxa"/>
            <w:right w:w="108" w:type="dxa"/>
          </w:tblCellMar>
        </w:tblPrEx>
        <w:trPr>
          <w:trHeight w:val="679"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“三公经费”控制率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“三公经费”控制率=本年度“三公经费”实际支出数/“三公经费”预算数*100%</w:t>
            </w:r>
          </w:p>
        </w:tc>
      </w:tr>
      <w:tr>
        <w:tblPrEx>
          <w:tblCellMar>
            <w:top w:w="0" w:type="dxa"/>
            <w:left w:w="108" w:type="dxa"/>
            <w:bottom w:w="0" w:type="dxa"/>
            <w:right w:w="108" w:type="dxa"/>
          </w:tblCellMar>
        </w:tblPrEx>
        <w:trPr>
          <w:trHeight w:val="1129"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政府采购执行率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≥80%</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政府采购执行率=（实际政府采购金额/政府采购预算数）×100%。政府采购预算：采购机关根据事业发展计划和行政任务编制的、并经过规定程序批准的年度政府采购计划。</w:t>
            </w:r>
          </w:p>
        </w:tc>
      </w:tr>
      <w:tr>
        <w:tblPrEx>
          <w:tblCellMar>
            <w:top w:w="0" w:type="dxa"/>
            <w:left w:w="108" w:type="dxa"/>
            <w:bottom w:w="0" w:type="dxa"/>
            <w:right w:w="108" w:type="dxa"/>
          </w:tblCellMar>
        </w:tblPrEx>
        <w:trPr>
          <w:trHeight w:val="679"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决算真实性</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真实</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反映本部门决算工作情况。决算编制数据是否账表一致，即决算报表数据与会计账簿数据是否一致。</w:t>
            </w:r>
          </w:p>
        </w:tc>
      </w:tr>
      <w:tr>
        <w:tblPrEx>
          <w:tblCellMar>
            <w:top w:w="0" w:type="dxa"/>
            <w:left w:w="108" w:type="dxa"/>
            <w:bottom w:w="0" w:type="dxa"/>
            <w:right w:w="108" w:type="dxa"/>
          </w:tblCellMar>
        </w:tblPrEx>
        <w:trPr>
          <w:trHeight w:val="2940"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资金使用合规性</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合规</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CellMar>
            <w:top w:w="0" w:type="dxa"/>
            <w:left w:w="108" w:type="dxa"/>
            <w:bottom w:w="0" w:type="dxa"/>
            <w:right w:w="108" w:type="dxa"/>
          </w:tblCellMar>
        </w:tblPrEx>
        <w:trPr>
          <w:trHeight w:val="2037"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管理制度健全性</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健全</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CellMar>
            <w:top w:w="0" w:type="dxa"/>
            <w:left w:w="108" w:type="dxa"/>
            <w:bottom w:w="0" w:type="dxa"/>
            <w:right w:w="108" w:type="dxa"/>
          </w:tblCellMar>
        </w:tblPrEx>
        <w:trPr>
          <w:trHeight w:val="1583"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预决算信息公开性</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公开</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CellMar>
            <w:top w:w="0" w:type="dxa"/>
            <w:left w:w="108" w:type="dxa"/>
            <w:bottom w:w="0" w:type="dxa"/>
            <w:right w:w="108" w:type="dxa"/>
          </w:tblCellMar>
        </w:tblPrEx>
        <w:trPr>
          <w:trHeight w:val="2940"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资产管理规范性</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规范</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CellMar>
            <w:top w:w="0" w:type="dxa"/>
            <w:left w:w="108" w:type="dxa"/>
            <w:bottom w:w="0" w:type="dxa"/>
            <w:right w:w="108" w:type="dxa"/>
          </w:tblCellMar>
        </w:tblPrEx>
        <w:trPr>
          <w:trHeight w:val="1129"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绩效管理  </w:t>
            </w:r>
          </w:p>
        </w:tc>
        <w:tc>
          <w:tcPr>
            <w:tcW w:w="2205" w:type="dxa"/>
            <w:tcBorders>
              <w:top w:val="nil"/>
              <w:left w:val="nil"/>
              <w:bottom w:val="nil"/>
              <w:right w:val="nil"/>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绩效目标编制完成率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部门（单位）按要求实施绩效监控的项目数量占应实施绩效监控项目总数的比重。部门绩效监控完成率=已完成绩效监控项目数量/部门项目总数*100%</w:t>
            </w:r>
          </w:p>
        </w:tc>
      </w:tr>
      <w:tr>
        <w:tblPrEx>
          <w:tblCellMar>
            <w:top w:w="0" w:type="dxa"/>
            <w:left w:w="108" w:type="dxa"/>
            <w:bottom w:w="0" w:type="dxa"/>
            <w:right w:w="108" w:type="dxa"/>
          </w:tblCellMar>
        </w:tblPrEx>
        <w:trPr>
          <w:trHeight w:val="1129"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绩效监控完成率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部门（单位）按要求实施绩效监控的项目数量占应实施绩效监控项目总数的比重。部门绩效监控完成率=已完成绩效监控项目数量/部门项目总数*100%</w:t>
            </w:r>
          </w:p>
        </w:tc>
      </w:tr>
      <w:tr>
        <w:tblPrEx>
          <w:tblCellMar>
            <w:top w:w="0" w:type="dxa"/>
            <w:left w:w="108" w:type="dxa"/>
            <w:bottom w:w="0" w:type="dxa"/>
            <w:right w:w="108" w:type="dxa"/>
          </w:tblCellMar>
        </w:tblPrEx>
        <w:trPr>
          <w:trHeight w:val="904"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绩效自评完成率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部门（单位）按要求实施绩效自评的项目数量占应实施绩效自评项目总数的比重。部门绩效自评完成率=已完成评价项目数量/部门项目总数*100%</w:t>
            </w:r>
          </w:p>
        </w:tc>
      </w:tr>
      <w:tr>
        <w:tblPrEx>
          <w:tblCellMar>
            <w:top w:w="0" w:type="dxa"/>
            <w:left w:w="108" w:type="dxa"/>
            <w:bottom w:w="0" w:type="dxa"/>
            <w:right w:w="108" w:type="dxa"/>
          </w:tblCellMar>
        </w:tblPrEx>
        <w:trPr>
          <w:trHeight w:val="904"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部门绩效评价完成率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部门重点绩效评价项目评价完成情况。部门绩效评价完成率=已完成评价项目数量/部门重点绩效评价项目数*100%</w:t>
            </w:r>
          </w:p>
        </w:tc>
      </w:tr>
      <w:tr>
        <w:tblPrEx>
          <w:tblCellMar>
            <w:top w:w="0" w:type="dxa"/>
            <w:left w:w="108" w:type="dxa"/>
            <w:bottom w:w="0" w:type="dxa"/>
            <w:right w:w="108" w:type="dxa"/>
          </w:tblCellMar>
        </w:tblPrEx>
        <w:trPr>
          <w:trHeight w:val="1129"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评价结果应用率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绩效监控、单位自评、部门绩效评价、财政重点绩效评价结果应用情况。评价结果应用率=评价提出的意见建议采纳数/提出的意见建议总数*100%</w:t>
            </w:r>
          </w:p>
        </w:tc>
      </w:tr>
      <w:tr>
        <w:tblPrEx>
          <w:tblCellMar>
            <w:top w:w="0" w:type="dxa"/>
            <w:left w:w="108" w:type="dxa"/>
            <w:bottom w:w="0" w:type="dxa"/>
            <w:right w:w="108" w:type="dxa"/>
          </w:tblCellMar>
        </w:tblPrEx>
        <w:trPr>
          <w:trHeight w:val="679" w:hRule="atLeast"/>
        </w:trPr>
        <w:tc>
          <w:tcPr>
            <w:tcW w:w="1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产出指标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重点工作任务完成</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档案业务建设</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规范</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确保档案库房及馆藏档案的安全，提高档案利用率，为利用者提供便利</w:t>
            </w:r>
          </w:p>
        </w:tc>
      </w:tr>
      <w:tr>
        <w:tblPrEx>
          <w:tblCellMar>
            <w:top w:w="0" w:type="dxa"/>
            <w:left w:w="108" w:type="dxa"/>
            <w:bottom w:w="0" w:type="dxa"/>
            <w:right w:w="108" w:type="dxa"/>
          </w:tblCellMar>
        </w:tblPrEx>
        <w:trPr>
          <w:trHeight w:val="454"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履职目标实现</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责任目标完成率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100%</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完成县委、县政府下达的年度责任目标</w:t>
            </w:r>
          </w:p>
        </w:tc>
      </w:tr>
      <w:tr>
        <w:tblPrEx>
          <w:tblCellMar>
            <w:top w:w="0" w:type="dxa"/>
            <w:left w:w="108" w:type="dxa"/>
            <w:bottom w:w="0" w:type="dxa"/>
            <w:right w:w="108" w:type="dxa"/>
          </w:tblCellMar>
        </w:tblPrEx>
        <w:trPr>
          <w:trHeight w:val="454" w:hRule="atLeast"/>
        </w:trPr>
        <w:tc>
          <w:tcPr>
            <w:tcW w:w="1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 xml:space="preserve">效益指标  </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履职效益</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为县域经济、社会发展服务，为档案利用者提供优质服务</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明显</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为县域经济、社会发展服务，为档案利用者提供优质服务</w:t>
            </w:r>
          </w:p>
        </w:tc>
      </w:tr>
      <w:tr>
        <w:tblPrEx>
          <w:tblCellMar>
            <w:top w:w="0" w:type="dxa"/>
            <w:left w:w="108" w:type="dxa"/>
            <w:bottom w:w="0" w:type="dxa"/>
            <w:right w:w="108" w:type="dxa"/>
          </w:tblCellMar>
        </w:tblPrEx>
        <w:trPr>
          <w:trHeight w:val="463"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群众查阅利用满意率</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5</w:t>
            </w:r>
            <w:r>
              <w:rPr>
                <w:rFonts w:ascii="宋体" w:hAnsi="宋体" w:cs="宋体"/>
                <w:color w:val="000000"/>
                <w:kern w:val="0"/>
                <w:sz w:val="18"/>
                <w:szCs w:val="18"/>
              </w:rPr>
              <w:t>%</w:t>
            </w:r>
          </w:p>
        </w:tc>
        <w:tc>
          <w:tcPr>
            <w:tcW w:w="32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满意率95%</w:t>
            </w:r>
          </w:p>
        </w:tc>
      </w:tr>
    </w:tbl>
    <w:p>
      <w:pPr>
        <w:sectPr>
          <w:pgSz w:w="11906" w:h="16838"/>
          <w:pgMar w:top="1440" w:right="1800" w:bottom="1440" w:left="1800" w:header="851" w:footer="992" w:gutter="0"/>
          <w:pgNumType w:fmt="numberInDash"/>
          <w:cols w:space="425" w:num="1"/>
          <w:docGrid w:type="lines" w:linePitch="312" w:charSpace="0"/>
        </w:sectPr>
      </w:pPr>
    </w:p>
    <w:p/>
    <w:tbl>
      <w:tblPr>
        <w:tblStyle w:val="4"/>
        <w:tblW w:w="5016" w:type="pct"/>
        <w:tblInd w:w="0" w:type="dxa"/>
        <w:tblLayout w:type="fixed"/>
        <w:tblCellMar>
          <w:top w:w="0" w:type="dxa"/>
          <w:left w:w="108" w:type="dxa"/>
          <w:bottom w:w="0" w:type="dxa"/>
          <w:right w:w="108" w:type="dxa"/>
        </w:tblCellMar>
      </w:tblPr>
      <w:tblGrid>
        <w:gridCol w:w="1399"/>
        <w:gridCol w:w="560"/>
        <w:gridCol w:w="714"/>
        <w:gridCol w:w="566"/>
        <w:gridCol w:w="111"/>
        <w:gridCol w:w="677"/>
        <w:gridCol w:w="65"/>
        <w:gridCol w:w="611"/>
        <w:gridCol w:w="242"/>
        <w:gridCol w:w="435"/>
        <w:gridCol w:w="276"/>
        <w:gridCol w:w="853"/>
        <w:gridCol w:w="108"/>
        <w:gridCol w:w="600"/>
        <w:gridCol w:w="77"/>
        <w:gridCol w:w="640"/>
        <w:gridCol w:w="597"/>
        <w:gridCol w:w="677"/>
        <w:gridCol w:w="151"/>
        <w:gridCol w:w="995"/>
        <w:gridCol w:w="91"/>
        <w:gridCol w:w="677"/>
        <w:gridCol w:w="611"/>
        <w:gridCol w:w="626"/>
        <w:gridCol w:w="137"/>
        <w:gridCol w:w="992"/>
        <w:gridCol w:w="731"/>
      </w:tblGrid>
      <w:tr>
        <w:tblPrEx>
          <w:tblCellMar>
            <w:top w:w="0" w:type="dxa"/>
            <w:left w:w="108" w:type="dxa"/>
            <w:bottom w:w="0" w:type="dxa"/>
            <w:right w:w="108" w:type="dxa"/>
          </w:tblCellMar>
        </w:tblPrEx>
        <w:trPr>
          <w:trHeight w:val="271" w:hRule="atLeast"/>
        </w:trPr>
        <w:tc>
          <w:tcPr>
            <w:tcW w:w="492"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48"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38"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38"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38"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38"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35"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38"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35"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38"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35" w:type="pct"/>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38"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435" w:type="pct"/>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654" w:type="pct"/>
            <w:gridSpan w:val="3"/>
            <w:tcBorders>
              <w:top w:val="nil"/>
              <w:left w:val="nil"/>
              <w:bottom w:val="nil"/>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预算13表</w:t>
            </w:r>
          </w:p>
        </w:tc>
      </w:tr>
      <w:tr>
        <w:tblPrEx>
          <w:tblCellMar>
            <w:top w:w="0" w:type="dxa"/>
            <w:left w:w="108" w:type="dxa"/>
            <w:bottom w:w="0" w:type="dxa"/>
            <w:right w:w="108" w:type="dxa"/>
          </w:tblCellMar>
        </w:tblPrEx>
        <w:trPr>
          <w:trHeight w:val="543" w:hRule="atLeast"/>
        </w:trPr>
        <w:tc>
          <w:tcPr>
            <w:tcW w:w="5000" w:type="pct"/>
            <w:gridSpan w:val="27"/>
            <w:tcBorders>
              <w:top w:val="nil"/>
              <w:left w:val="nil"/>
              <w:bottom w:val="nil"/>
              <w:right w:val="nil"/>
            </w:tcBorders>
            <w:shd w:val="clear" w:color="auto" w:fill="auto"/>
            <w:vAlign w:val="center"/>
          </w:tcPr>
          <w:p>
            <w:pPr>
              <w:widowControl/>
              <w:jc w:val="center"/>
              <w:rPr>
                <w:rFonts w:ascii="宋体" w:hAnsi="宋体" w:cs="宋体"/>
                <w:b/>
                <w:bCs/>
                <w:kern w:val="0"/>
                <w:sz w:val="38"/>
                <w:szCs w:val="38"/>
              </w:rPr>
            </w:pPr>
            <w:r>
              <w:rPr>
                <w:rFonts w:hint="eastAsia" w:ascii="宋体" w:hAnsi="宋体" w:cs="宋体"/>
                <w:b/>
                <w:bCs/>
                <w:kern w:val="0"/>
                <w:sz w:val="38"/>
                <w:szCs w:val="38"/>
              </w:rPr>
              <w:t>2022年部门预算项目绩效目标表</w:t>
            </w:r>
          </w:p>
        </w:tc>
      </w:tr>
      <w:tr>
        <w:tblPrEx>
          <w:tblCellMar>
            <w:top w:w="0" w:type="dxa"/>
            <w:left w:w="108" w:type="dxa"/>
            <w:bottom w:w="0" w:type="dxa"/>
            <w:right w:w="108" w:type="dxa"/>
          </w:tblCellMar>
        </w:tblPrEx>
        <w:trPr>
          <w:trHeight w:val="271" w:hRule="atLeast"/>
        </w:trPr>
        <w:tc>
          <w:tcPr>
            <w:tcW w:w="6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单位编码（项目编码）</w:t>
            </w:r>
          </w:p>
        </w:tc>
        <w:tc>
          <w:tcPr>
            <w:tcW w:w="4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项目单位 （项目名称）</w:t>
            </w:r>
          </w:p>
        </w:tc>
        <w:tc>
          <w:tcPr>
            <w:tcW w:w="115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项目金额（万元）</w:t>
            </w:r>
          </w:p>
        </w:tc>
        <w:tc>
          <w:tcPr>
            <w:tcW w:w="2712" w:type="pct"/>
            <w:gridSpan w:val="1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绩效目标</w:t>
            </w:r>
          </w:p>
        </w:tc>
      </w:tr>
      <w:tr>
        <w:tblPrEx>
          <w:tblCellMar>
            <w:top w:w="0" w:type="dxa"/>
            <w:left w:w="108" w:type="dxa"/>
            <w:bottom w:w="0" w:type="dxa"/>
            <w:right w:w="108" w:type="dxa"/>
          </w:tblCellMar>
        </w:tblPrEx>
        <w:trPr>
          <w:trHeight w:val="271" w:hRule="atLeast"/>
        </w:trPr>
        <w:tc>
          <w:tcPr>
            <w:tcW w:w="689"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150" w:type="pct"/>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01"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成本指标  </w:t>
            </w:r>
          </w:p>
        </w:tc>
        <w:tc>
          <w:tcPr>
            <w:tcW w:w="851"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产出指标  </w:t>
            </w:r>
          </w:p>
        </w:tc>
        <w:tc>
          <w:tcPr>
            <w:tcW w:w="753"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效益指标  </w:t>
            </w:r>
          </w:p>
        </w:tc>
        <w:tc>
          <w:tcPr>
            <w:tcW w:w="607"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满意度指标  </w:t>
            </w:r>
          </w:p>
        </w:tc>
      </w:tr>
      <w:tr>
        <w:tblPrEx>
          <w:tblCellMar>
            <w:top w:w="0" w:type="dxa"/>
            <w:left w:w="108" w:type="dxa"/>
            <w:bottom w:w="0" w:type="dxa"/>
            <w:right w:w="108" w:type="dxa"/>
          </w:tblCellMar>
        </w:tblPrEx>
        <w:trPr>
          <w:trHeight w:val="432" w:hRule="atLeast"/>
        </w:trPr>
        <w:tc>
          <w:tcPr>
            <w:tcW w:w="689"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00"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资金总额</w:t>
            </w:r>
          </w:p>
        </w:tc>
        <w:tc>
          <w:tcPr>
            <w:tcW w:w="300"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政府预算资金</w:t>
            </w:r>
          </w:p>
        </w:tc>
        <w:tc>
          <w:tcPr>
            <w:tcW w:w="250"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30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24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52"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501"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35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485"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68"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34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5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指标值</w:t>
            </w:r>
          </w:p>
        </w:tc>
      </w:tr>
      <w:tr>
        <w:tblPrEx>
          <w:tblCellMar>
            <w:top w:w="0" w:type="dxa"/>
            <w:left w:w="108" w:type="dxa"/>
            <w:bottom w:w="0" w:type="dxa"/>
            <w:right w:w="108" w:type="dxa"/>
          </w:tblCellMar>
        </w:tblPrEx>
        <w:trPr>
          <w:trHeight w:val="271" w:hRule="atLeast"/>
        </w:trPr>
        <w:tc>
          <w:tcPr>
            <w:tcW w:w="68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50"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 w:type="pct"/>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300"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250"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00"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4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01" w:type="pct"/>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8"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689"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202001</w:t>
            </w:r>
          </w:p>
        </w:tc>
        <w:tc>
          <w:tcPr>
            <w:tcW w:w="450"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伊川县档案馆</w:t>
            </w:r>
          </w:p>
        </w:tc>
        <w:tc>
          <w:tcPr>
            <w:tcW w:w="300" w:type="pct"/>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300"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250"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00"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4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01" w:type="pct"/>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5" w:type="pct"/>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8"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7" w:hRule="atLeast"/>
        </w:trPr>
        <w:tc>
          <w:tcPr>
            <w:tcW w:w="689"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4103290000000017354</w:t>
            </w:r>
          </w:p>
        </w:tc>
        <w:tc>
          <w:tcPr>
            <w:tcW w:w="450"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档案馆（档案征集、抢修、保护编纂、修复、整理等）</w:t>
            </w:r>
          </w:p>
        </w:tc>
        <w:tc>
          <w:tcPr>
            <w:tcW w:w="300"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300"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21.00</w:t>
            </w:r>
          </w:p>
        </w:tc>
        <w:tc>
          <w:tcPr>
            <w:tcW w:w="250"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0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4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01" w:type="pct"/>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保管馆藏档案资料</w:t>
            </w:r>
          </w:p>
        </w:tc>
        <w:tc>
          <w:tcPr>
            <w:tcW w:w="35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≥50000卷、件</w:t>
            </w:r>
          </w:p>
        </w:tc>
        <w:tc>
          <w:tcPr>
            <w:tcW w:w="485" w:type="pct"/>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为县域经济、社会发展服务，为档案利用者服务</w:t>
            </w:r>
          </w:p>
        </w:tc>
        <w:tc>
          <w:tcPr>
            <w:tcW w:w="268"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长期</w:t>
            </w:r>
          </w:p>
        </w:tc>
        <w:tc>
          <w:tcPr>
            <w:tcW w:w="34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群众查阅利用满意率</w:t>
            </w:r>
          </w:p>
        </w:tc>
        <w:tc>
          <w:tcPr>
            <w:tcW w:w="25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432" w:hRule="atLeast"/>
        </w:trPr>
        <w:tc>
          <w:tcPr>
            <w:tcW w:w="689"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5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00"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0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5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0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01" w:type="pct"/>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接收新入馆档案</w:t>
            </w:r>
          </w:p>
        </w:tc>
        <w:tc>
          <w:tcPr>
            <w:tcW w:w="35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≥1000卷、件</w:t>
            </w:r>
          </w:p>
        </w:tc>
        <w:tc>
          <w:tcPr>
            <w:tcW w:w="485" w:type="pct"/>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8"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689"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5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00"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0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5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0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01" w:type="pct"/>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档案查阅利用</w:t>
            </w:r>
          </w:p>
        </w:tc>
        <w:tc>
          <w:tcPr>
            <w:tcW w:w="35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≥300卷、件</w:t>
            </w:r>
          </w:p>
        </w:tc>
        <w:tc>
          <w:tcPr>
            <w:tcW w:w="485" w:type="pct"/>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8"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7" w:hRule="atLeast"/>
        </w:trPr>
        <w:tc>
          <w:tcPr>
            <w:tcW w:w="689"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45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00"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0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50"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0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01" w:type="pct"/>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库房干净整洁，除湿、防虫，达到档案保管条件</w:t>
            </w:r>
          </w:p>
        </w:tc>
        <w:tc>
          <w:tcPr>
            <w:tcW w:w="35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长期</w:t>
            </w:r>
          </w:p>
        </w:tc>
        <w:tc>
          <w:tcPr>
            <w:tcW w:w="485" w:type="pct"/>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8" w:type="pct"/>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15D02"/>
    <w:rsid w:val="00057915"/>
    <w:rsid w:val="00061A27"/>
    <w:rsid w:val="000747EE"/>
    <w:rsid w:val="000A035C"/>
    <w:rsid w:val="00131081"/>
    <w:rsid w:val="001E34A7"/>
    <w:rsid w:val="0029405D"/>
    <w:rsid w:val="00322268"/>
    <w:rsid w:val="004E2F0A"/>
    <w:rsid w:val="0051662F"/>
    <w:rsid w:val="005A6D7F"/>
    <w:rsid w:val="006511C7"/>
    <w:rsid w:val="006A187A"/>
    <w:rsid w:val="00740ECF"/>
    <w:rsid w:val="007B51A2"/>
    <w:rsid w:val="007B7199"/>
    <w:rsid w:val="00932B5A"/>
    <w:rsid w:val="00935B98"/>
    <w:rsid w:val="00953387"/>
    <w:rsid w:val="00A87CE0"/>
    <w:rsid w:val="00AC7CBB"/>
    <w:rsid w:val="00B15D02"/>
    <w:rsid w:val="00BA24D2"/>
    <w:rsid w:val="00BB6524"/>
    <w:rsid w:val="00D055D0"/>
    <w:rsid w:val="00D34935"/>
    <w:rsid w:val="00D539A2"/>
    <w:rsid w:val="00E465EB"/>
    <w:rsid w:val="00E95374"/>
    <w:rsid w:val="00EA7768"/>
    <w:rsid w:val="00EC7BCB"/>
    <w:rsid w:val="00EE0D9D"/>
    <w:rsid w:val="00F25D6F"/>
    <w:rsid w:val="00F61B8A"/>
    <w:rsid w:val="00F739A0"/>
    <w:rsid w:val="4F39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qFormat/>
    <w:uiPriority w:val="0"/>
    <w:rPr>
      <w:rFonts w:ascii="Calibri" w:hAnsi="Calibri" w:eastAsia="宋体" w:cs="Times New Roman"/>
      <w:sz w:val="18"/>
      <w:szCs w:val="18"/>
    </w:rPr>
  </w:style>
  <w:style w:type="character" w:customStyle="1" w:styleId="7">
    <w:name w:val="页眉 Char"/>
    <w:basedOn w:val="5"/>
    <w:link w:val="3"/>
    <w:uiPriority w:val="0"/>
    <w:rPr>
      <w:rFonts w:ascii="Calibri" w:hAnsi="Calibri"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1974</Words>
  <Characters>11258</Characters>
  <Lines>93</Lines>
  <Paragraphs>26</Paragraphs>
  <TotalTime>98</TotalTime>
  <ScaleCrop>false</ScaleCrop>
  <LinksUpToDate>false</LinksUpToDate>
  <CharactersWithSpaces>13206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2023-05-26T00:55:00Z</dcterms:created>
  <dc:creator>Administrator</dc:creator>
  <cp:lastModifiedBy>Administrator</cp:lastModifiedBy>
  <dcterms:modified xsi:type="dcterms:W3CDTF">2023-07-12T02:29:21Z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