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overflowPunct w:val="0"/>
        <w:autoSpaceDE/>
        <w:autoSpaceDN/>
        <w:adjustRightInd/>
        <w:snapToGrid/>
        <w:spacing w:line="600" w:lineRule="exact"/>
        <w:jc w:val="center"/>
        <w:textAlignment w:val="auto"/>
        <w:rPr>
          <w:rFonts w:ascii="微软雅黑" w:hAnsi="微软雅黑" w:eastAsia="微软雅黑" w:cs="微软雅黑"/>
          <w:sz w:val="43"/>
          <w:szCs w:val="43"/>
        </w:rPr>
      </w:pPr>
      <w:r>
        <w:rPr>
          <w:rFonts w:ascii="Times New Roman" w:hAnsi="Times New Roman" w:eastAsia="方正小标宋简体" w:cs="Times New Roman"/>
          <w:snapToGrid/>
          <w:color w:val="auto"/>
          <w:kern w:val="2"/>
          <w:sz w:val="44"/>
          <w:szCs w:val="44"/>
          <w:lang w:eastAsia="zh-CN"/>
        </w:rPr>
        <w:t>202</w:t>
      </w:r>
      <w:r>
        <w:rPr>
          <w:rFonts w:hint="eastAsia" w:ascii="Times New Roman" w:hAnsi="Times New Roman" w:eastAsia="方正小标宋简体" w:cs="Times New Roman"/>
          <w:snapToGrid/>
          <w:color w:val="auto"/>
          <w:kern w:val="2"/>
          <w:sz w:val="44"/>
          <w:szCs w:val="44"/>
          <w:lang w:eastAsia="zh-CN"/>
        </w:rPr>
        <w:t>2</w:t>
      </w:r>
      <w:r>
        <w:rPr>
          <w:rFonts w:ascii="Times New Roman" w:hAnsi="Times New Roman" w:eastAsia="方正小标宋简体" w:cs="Times New Roman"/>
          <w:snapToGrid/>
          <w:color w:val="auto"/>
          <w:kern w:val="2"/>
          <w:sz w:val="44"/>
          <w:szCs w:val="44"/>
          <w:lang w:eastAsia="zh-CN"/>
        </w:rPr>
        <w:t>年</w:t>
      </w:r>
      <w:r>
        <w:rPr>
          <w:rFonts w:hint="eastAsia" w:ascii="Times New Roman" w:hAnsi="Times New Roman" w:eastAsia="方正小标宋简体" w:cs="Times New Roman"/>
          <w:snapToGrid/>
          <w:color w:val="auto"/>
          <w:kern w:val="2"/>
          <w:sz w:val="44"/>
          <w:szCs w:val="44"/>
          <w:lang w:eastAsia="zh-CN"/>
        </w:rPr>
        <w:t>伊川县</w:t>
      </w:r>
      <w:r>
        <w:rPr>
          <w:rFonts w:ascii="Times New Roman" w:hAnsi="Times New Roman" w:eastAsia="方正小标宋简体" w:cs="Times New Roman"/>
          <w:snapToGrid/>
          <w:color w:val="auto"/>
          <w:kern w:val="2"/>
          <w:sz w:val="44"/>
          <w:szCs w:val="44"/>
          <w:lang w:eastAsia="zh-CN"/>
        </w:rPr>
        <w:t>交通运输局</w:t>
      </w:r>
      <w:r>
        <w:rPr>
          <w:rFonts w:hint="eastAsia" w:ascii="Times New Roman" w:hAnsi="Times New Roman" w:eastAsia="方正小标宋简体" w:cs="Times New Roman"/>
          <w:snapToGrid/>
          <w:color w:val="auto"/>
          <w:kern w:val="2"/>
          <w:sz w:val="44"/>
          <w:szCs w:val="44"/>
          <w:lang w:eastAsia="zh-CN"/>
        </w:rPr>
        <w:t>部门</w:t>
      </w:r>
      <w:r>
        <w:rPr>
          <w:rFonts w:ascii="Times New Roman" w:hAnsi="Times New Roman" w:eastAsia="方正小标宋简体" w:cs="Times New Roman"/>
          <w:snapToGrid/>
          <w:color w:val="auto"/>
          <w:kern w:val="2"/>
          <w:sz w:val="44"/>
          <w:szCs w:val="44"/>
          <w:lang w:eastAsia="zh-CN"/>
        </w:rPr>
        <w:t>预算说明</w:t>
      </w:r>
    </w:p>
    <w:p>
      <w:pPr>
        <w:spacing w:line="277" w:lineRule="auto"/>
      </w:pPr>
    </w:p>
    <w:p>
      <w:pPr>
        <w:spacing w:line="278" w:lineRule="auto"/>
      </w:pPr>
    </w:p>
    <w:p>
      <w:pPr>
        <w:spacing w:before="114" w:line="227" w:lineRule="auto"/>
        <w:ind w:left="3834"/>
        <w:rPr>
          <w:rFonts w:ascii="黑体" w:hAnsi="黑体" w:eastAsia="黑体" w:cs="黑体"/>
          <w:sz w:val="35"/>
          <w:szCs w:val="35"/>
        </w:rPr>
      </w:pPr>
      <w:r>
        <w:rPr>
          <w:rFonts w:ascii="黑体" w:hAnsi="黑体" w:eastAsia="黑体" w:cs="黑体"/>
          <w:spacing w:val="-25"/>
          <w:sz w:val="35"/>
          <w:szCs w:val="35"/>
        </w:rPr>
        <w:t>目录</w:t>
      </w:r>
    </w:p>
    <w:p>
      <w:pPr>
        <w:spacing w:before="207" w:line="226" w:lineRule="auto"/>
        <w:ind w:left="456"/>
        <w:rPr>
          <w:rFonts w:ascii="黑体" w:hAnsi="黑体" w:eastAsia="黑体" w:cs="黑体"/>
          <w:sz w:val="31"/>
          <w:szCs w:val="31"/>
        </w:rPr>
      </w:pPr>
      <w:r>
        <w:rPr>
          <w:rFonts w:ascii="黑体" w:hAnsi="黑体" w:eastAsia="黑体" w:cs="黑体"/>
          <w:spacing w:val="8"/>
          <w:sz w:val="31"/>
          <w:szCs w:val="31"/>
        </w:rPr>
        <w:t>第一部分</w:t>
      </w:r>
      <w:r>
        <w:rPr>
          <w:rFonts w:hint="eastAsia" w:ascii="黑体" w:hAnsi="黑体" w:eastAsia="黑体" w:cs="黑体"/>
          <w:spacing w:val="8"/>
          <w:sz w:val="31"/>
          <w:szCs w:val="31"/>
          <w:lang w:val="en-US" w:eastAsia="zh-CN"/>
        </w:rPr>
        <w:t xml:space="preserve"> </w:t>
      </w:r>
      <w:r>
        <w:rPr>
          <w:rFonts w:hint="eastAsia" w:ascii="黑体" w:hAnsi="黑体" w:eastAsia="黑体" w:cs="黑体"/>
          <w:spacing w:val="8"/>
          <w:sz w:val="31"/>
          <w:szCs w:val="31"/>
          <w:lang w:eastAsia="zh-CN"/>
        </w:rPr>
        <w:t>伊川县</w:t>
      </w:r>
      <w:r>
        <w:rPr>
          <w:rFonts w:ascii="黑体" w:hAnsi="黑体" w:eastAsia="黑体" w:cs="黑体"/>
          <w:spacing w:val="8"/>
          <w:sz w:val="31"/>
          <w:szCs w:val="31"/>
        </w:rPr>
        <w:t>交通运输局概况</w:t>
      </w:r>
    </w:p>
    <w:p>
      <w:pPr>
        <w:pStyle w:val="3"/>
        <w:spacing w:before="220" w:line="225" w:lineRule="auto"/>
        <w:ind w:left="796"/>
        <w:rPr>
          <w:rFonts w:hint="eastAsia" w:ascii="仿宋_GB2312" w:hAnsi="仿宋_GB2312" w:eastAsia="仿宋_GB2312" w:cs="仿宋_GB2312"/>
        </w:rPr>
      </w:pPr>
      <w:r>
        <w:rPr>
          <w:rFonts w:hint="eastAsia" w:ascii="仿宋_GB2312" w:hAnsi="仿宋_GB2312" w:eastAsia="仿宋_GB2312" w:cs="仿宋_GB2312"/>
          <w:spacing w:val="4"/>
        </w:rPr>
        <w:t>一、主要职责</w:t>
      </w:r>
    </w:p>
    <w:p>
      <w:pPr>
        <w:pStyle w:val="3"/>
        <w:spacing w:before="223" w:line="221" w:lineRule="auto"/>
        <w:ind w:left="793"/>
        <w:rPr>
          <w:rFonts w:hint="eastAsia" w:ascii="仿宋_GB2312" w:hAnsi="仿宋_GB2312" w:eastAsia="仿宋_GB2312" w:cs="仿宋_GB2312"/>
        </w:rPr>
      </w:pPr>
      <w:r>
        <w:rPr>
          <w:rFonts w:hint="eastAsia" w:ascii="仿宋_GB2312" w:hAnsi="仿宋_GB2312" w:eastAsia="仿宋_GB2312" w:cs="仿宋_GB2312"/>
          <w:spacing w:val="7"/>
        </w:rPr>
        <w:t>二、</w:t>
      </w:r>
      <w:r>
        <w:rPr>
          <w:rFonts w:hint="eastAsia" w:ascii="仿宋_GB2312" w:hAnsi="仿宋_GB2312" w:eastAsia="仿宋_GB2312" w:cs="仿宋_GB2312"/>
          <w:spacing w:val="7"/>
          <w:lang w:val="en-US" w:eastAsia="zh-CN"/>
        </w:rPr>
        <w:t>部门</w:t>
      </w:r>
      <w:r>
        <w:rPr>
          <w:rFonts w:hint="eastAsia" w:ascii="仿宋_GB2312" w:hAnsi="仿宋_GB2312" w:eastAsia="仿宋_GB2312" w:cs="仿宋_GB2312"/>
          <w:spacing w:val="7"/>
        </w:rPr>
        <w:t>所属预算单位构成情况</w:t>
      </w:r>
    </w:p>
    <w:p>
      <w:pPr>
        <w:spacing w:before="228" w:line="600" w:lineRule="exact"/>
        <w:ind w:left="456"/>
        <w:rPr>
          <w:rFonts w:ascii="黑体" w:hAnsi="黑体" w:eastAsia="黑体" w:cs="黑体"/>
          <w:sz w:val="31"/>
          <w:szCs w:val="31"/>
        </w:rPr>
      </w:pPr>
      <w:r>
        <w:rPr>
          <w:rFonts w:ascii="黑体" w:hAnsi="黑体" w:eastAsia="黑体" w:cs="黑体"/>
          <w:spacing w:val="8"/>
          <w:position w:val="21"/>
          <w:sz w:val="31"/>
          <w:szCs w:val="31"/>
        </w:rPr>
        <w:t>第二部分</w:t>
      </w:r>
      <w:r>
        <w:rPr>
          <w:rFonts w:hint="eastAsia" w:ascii="黑体" w:hAnsi="黑体" w:eastAsia="黑体" w:cs="黑体"/>
          <w:spacing w:val="8"/>
          <w:position w:val="21"/>
          <w:sz w:val="31"/>
          <w:szCs w:val="31"/>
          <w:lang w:val="en-US" w:eastAsia="zh-CN"/>
        </w:rPr>
        <w:t xml:space="preserve"> </w:t>
      </w:r>
      <w:r>
        <w:rPr>
          <w:rFonts w:ascii="Times New Roman" w:hAnsi="Times New Roman" w:eastAsia="Times New Roman" w:cs="Times New Roman"/>
          <w:spacing w:val="8"/>
          <w:position w:val="21"/>
          <w:sz w:val="31"/>
          <w:szCs w:val="31"/>
        </w:rPr>
        <w:t>202</w:t>
      </w:r>
      <w:r>
        <w:rPr>
          <w:rFonts w:hint="eastAsia" w:ascii="Times New Roman" w:hAnsi="Times New Roman" w:eastAsia="宋体" w:cs="Times New Roman"/>
          <w:spacing w:val="8"/>
          <w:position w:val="21"/>
          <w:sz w:val="31"/>
          <w:szCs w:val="31"/>
          <w:lang w:eastAsia="zh-CN"/>
        </w:rPr>
        <w:t>2</w:t>
      </w:r>
      <w:r>
        <w:rPr>
          <w:rFonts w:ascii="黑体" w:hAnsi="黑体" w:eastAsia="黑体" w:cs="黑体"/>
          <w:spacing w:val="8"/>
          <w:position w:val="21"/>
          <w:sz w:val="31"/>
          <w:szCs w:val="31"/>
        </w:rPr>
        <w:t>年</w:t>
      </w:r>
      <w:r>
        <w:rPr>
          <w:rFonts w:hint="eastAsia" w:ascii="黑体" w:hAnsi="黑体" w:eastAsia="黑体" w:cs="黑体"/>
          <w:spacing w:val="8"/>
          <w:position w:val="21"/>
          <w:sz w:val="31"/>
          <w:szCs w:val="31"/>
          <w:lang w:eastAsia="zh-CN"/>
        </w:rPr>
        <w:t>伊川县</w:t>
      </w:r>
      <w:r>
        <w:rPr>
          <w:rFonts w:ascii="黑体" w:hAnsi="黑体" w:eastAsia="黑体" w:cs="黑体"/>
          <w:spacing w:val="8"/>
          <w:position w:val="21"/>
          <w:sz w:val="31"/>
          <w:szCs w:val="31"/>
        </w:rPr>
        <w:t>交通运输局</w:t>
      </w:r>
      <w:r>
        <w:rPr>
          <w:rFonts w:hint="eastAsia" w:ascii="黑体" w:hAnsi="黑体" w:eastAsia="黑体" w:cs="黑体"/>
          <w:spacing w:val="8"/>
          <w:position w:val="21"/>
          <w:sz w:val="31"/>
          <w:szCs w:val="31"/>
          <w:lang w:val="en-US" w:eastAsia="zh-CN"/>
        </w:rPr>
        <w:t>部门</w:t>
      </w:r>
      <w:r>
        <w:rPr>
          <w:rFonts w:ascii="黑体" w:hAnsi="黑体" w:eastAsia="黑体" w:cs="黑体"/>
          <w:spacing w:val="8"/>
          <w:position w:val="21"/>
          <w:sz w:val="31"/>
          <w:szCs w:val="31"/>
        </w:rPr>
        <w:t>预算情况说明</w:t>
      </w:r>
    </w:p>
    <w:p>
      <w:pPr>
        <w:spacing w:line="227" w:lineRule="auto"/>
        <w:ind w:left="456"/>
        <w:rPr>
          <w:rFonts w:ascii="黑体" w:hAnsi="黑体" w:eastAsia="黑体" w:cs="黑体"/>
          <w:sz w:val="31"/>
          <w:szCs w:val="31"/>
        </w:rPr>
      </w:pPr>
      <w:r>
        <w:rPr>
          <w:rFonts w:ascii="黑体" w:hAnsi="黑体" w:eastAsia="黑体" w:cs="黑体"/>
          <w:spacing w:val="6"/>
          <w:sz w:val="31"/>
          <w:szCs w:val="31"/>
        </w:rPr>
        <w:t>第三部分</w:t>
      </w:r>
      <w:r>
        <w:rPr>
          <w:rFonts w:hint="eastAsia" w:ascii="黑体" w:hAnsi="黑体" w:eastAsia="黑体" w:cs="黑体"/>
          <w:spacing w:val="6"/>
          <w:sz w:val="31"/>
          <w:szCs w:val="31"/>
          <w:lang w:val="en-US" w:eastAsia="zh-CN"/>
        </w:rPr>
        <w:t xml:space="preserve"> </w:t>
      </w:r>
      <w:r>
        <w:rPr>
          <w:rFonts w:ascii="黑体" w:hAnsi="黑体" w:eastAsia="黑体" w:cs="黑体"/>
          <w:spacing w:val="6"/>
          <w:sz w:val="31"/>
          <w:szCs w:val="31"/>
        </w:rPr>
        <w:t>名词解释</w:t>
      </w:r>
    </w:p>
    <w:p>
      <w:pPr>
        <w:spacing w:before="219" w:line="226" w:lineRule="auto"/>
        <w:ind w:left="474"/>
        <w:rPr>
          <w:rFonts w:ascii="黑体" w:hAnsi="黑体" w:eastAsia="黑体" w:cs="黑体"/>
          <w:sz w:val="31"/>
          <w:szCs w:val="31"/>
        </w:rPr>
      </w:pPr>
      <w:r>
        <w:rPr>
          <w:rFonts w:ascii="黑体" w:hAnsi="黑体" w:eastAsia="黑体" w:cs="黑体"/>
          <w:spacing w:val="7"/>
          <w:sz w:val="31"/>
          <w:szCs w:val="31"/>
        </w:rPr>
        <w:t>附件：</w:t>
      </w:r>
      <w:r>
        <w:rPr>
          <w:rFonts w:ascii="Times New Roman" w:hAnsi="Times New Roman" w:eastAsia="Times New Roman" w:cs="Times New Roman"/>
          <w:spacing w:val="7"/>
          <w:sz w:val="31"/>
          <w:szCs w:val="31"/>
        </w:rPr>
        <w:t>202</w:t>
      </w:r>
      <w:r>
        <w:rPr>
          <w:rFonts w:hint="eastAsia" w:ascii="Times New Roman" w:hAnsi="Times New Roman" w:eastAsia="宋体" w:cs="Times New Roman"/>
          <w:spacing w:val="7"/>
          <w:sz w:val="31"/>
          <w:szCs w:val="31"/>
          <w:lang w:eastAsia="zh-CN"/>
        </w:rPr>
        <w:t>2</w:t>
      </w:r>
      <w:r>
        <w:rPr>
          <w:rFonts w:ascii="黑体" w:hAnsi="黑体" w:eastAsia="黑体" w:cs="黑体"/>
          <w:spacing w:val="7"/>
          <w:sz w:val="31"/>
          <w:szCs w:val="31"/>
        </w:rPr>
        <w:t>年</w:t>
      </w:r>
      <w:r>
        <w:rPr>
          <w:rFonts w:hint="eastAsia" w:ascii="黑体" w:hAnsi="黑体" w:eastAsia="黑体" w:cs="黑体"/>
          <w:spacing w:val="7"/>
          <w:sz w:val="31"/>
          <w:szCs w:val="31"/>
          <w:lang w:eastAsia="zh-CN"/>
        </w:rPr>
        <w:t>伊川县</w:t>
      </w:r>
      <w:r>
        <w:rPr>
          <w:rFonts w:ascii="黑体" w:hAnsi="黑体" w:eastAsia="黑体" w:cs="黑体"/>
          <w:spacing w:val="7"/>
          <w:sz w:val="31"/>
          <w:szCs w:val="31"/>
        </w:rPr>
        <w:t>交通运输局</w:t>
      </w:r>
      <w:r>
        <w:rPr>
          <w:rFonts w:hint="eastAsia" w:ascii="黑体" w:hAnsi="黑体" w:eastAsia="黑体" w:cs="黑体"/>
          <w:spacing w:val="7"/>
          <w:sz w:val="31"/>
          <w:szCs w:val="31"/>
          <w:lang w:val="en-US" w:eastAsia="zh-CN"/>
        </w:rPr>
        <w:t>部门</w:t>
      </w:r>
      <w:r>
        <w:rPr>
          <w:rFonts w:ascii="黑体" w:hAnsi="黑体" w:eastAsia="黑体" w:cs="黑体"/>
          <w:spacing w:val="7"/>
          <w:sz w:val="31"/>
          <w:szCs w:val="31"/>
        </w:rPr>
        <w:t>预算表</w:t>
      </w:r>
    </w:p>
    <w:p>
      <w:pPr>
        <w:pStyle w:val="3"/>
        <w:spacing w:before="220" w:line="225" w:lineRule="auto"/>
        <w:ind w:left="796"/>
        <w:rPr>
          <w:rFonts w:hint="eastAsia" w:ascii="仿宋_GB2312" w:hAnsi="仿宋_GB2312" w:eastAsia="仿宋_GB2312" w:cs="仿宋_GB2312"/>
          <w:spacing w:val="4"/>
        </w:rPr>
      </w:pPr>
      <w:r>
        <w:rPr>
          <w:rFonts w:hint="eastAsia" w:ascii="仿宋_GB2312" w:hAnsi="仿宋_GB2312" w:eastAsia="仿宋_GB2312" w:cs="仿宋_GB2312"/>
          <w:spacing w:val="4"/>
        </w:rPr>
        <w:t>一、</w:t>
      </w:r>
      <w:r>
        <w:rPr>
          <w:rFonts w:hint="eastAsia" w:ascii="仿宋_GB2312" w:hAnsi="仿宋_GB2312" w:eastAsia="仿宋_GB2312" w:cs="仿宋_GB2312"/>
          <w:spacing w:val="4"/>
          <w:lang w:val="en-US" w:eastAsia="zh-CN"/>
        </w:rPr>
        <w:t>部门</w:t>
      </w:r>
      <w:r>
        <w:rPr>
          <w:rFonts w:hint="eastAsia" w:ascii="仿宋_GB2312" w:hAnsi="仿宋_GB2312" w:eastAsia="仿宋_GB2312" w:cs="仿宋_GB2312"/>
          <w:spacing w:val="4"/>
        </w:rPr>
        <w:t>收支预算表</w:t>
      </w:r>
    </w:p>
    <w:p>
      <w:pPr>
        <w:pStyle w:val="3"/>
        <w:spacing w:before="220" w:line="225" w:lineRule="auto"/>
        <w:ind w:left="796"/>
        <w:rPr>
          <w:rFonts w:hint="eastAsia" w:ascii="仿宋_GB2312" w:hAnsi="仿宋_GB2312" w:eastAsia="仿宋_GB2312" w:cs="仿宋_GB2312"/>
          <w:spacing w:val="4"/>
        </w:rPr>
      </w:pPr>
      <w:r>
        <w:rPr>
          <w:rFonts w:hint="eastAsia" w:ascii="仿宋_GB2312" w:hAnsi="仿宋_GB2312" w:eastAsia="仿宋_GB2312" w:cs="仿宋_GB2312"/>
          <w:spacing w:val="4"/>
        </w:rPr>
        <w:t>二、</w:t>
      </w:r>
      <w:r>
        <w:rPr>
          <w:rFonts w:hint="eastAsia" w:ascii="仿宋_GB2312" w:hAnsi="仿宋_GB2312" w:eastAsia="仿宋_GB2312" w:cs="仿宋_GB2312"/>
          <w:spacing w:val="4"/>
          <w:lang w:val="en-US" w:eastAsia="zh-CN"/>
        </w:rPr>
        <w:t>部门</w:t>
      </w:r>
      <w:r>
        <w:rPr>
          <w:rFonts w:hint="eastAsia" w:ascii="仿宋_GB2312" w:hAnsi="仿宋_GB2312" w:eastAsia="仿宋_GB2312" w:cs="仿宋_GB2312"/>
          <w:spacing w:val="4"/>
        </w:rPr>
        <w:t>收入预算表</w:t>
      </w:r>
    </w:p>
    <w:p>
      <w:pPr>
        <w:pStyle w:val="3"/>
        <w:spacing w:before="220" w:line="225" w:lineRule="auto"/>
        <w:ind w:left="796"/>
        <w:rPr>
          <w:rFonts w:hint="eastAsia" w:ascii="仿宋_GB2312" w:hAnsi="仿宋_GB2312" w:eastAsia="仿宋_GB2312" w:cs="仿宋_GB2312"/>
          <w:spacing w:val="4"/>
        </w:rPr>
      </w:pPr>
      <w:r>
        <w:rPr>
          <w:rFonts w:hint="eastAsia" w:ascii="仿宋_GB2312" w:hAnsi="仿宋_GB2312" w:eastAsia="仿宋_GB2312" w:cs="仿宋_GB2312"/>
          <w:spacing w:val="4"/>
        </w:rPr>
        <w:t>三、</w:t>
      </w:r>
      <w:r>
        <w:rPr>
          <w:rFonts w:hint="eastAsia" w:ascii="仿宋_GB2312" w:hAnsi="仿宋_GB2312" w:eastAsia="仿宋_GB2312" w:cs="仿宋_GB2312"/>
          <w:spacing w:val="4"/>
          <w:lang w:val="en-US" w:eastAsia="zh-CN"/>
        </w:rPr>
        <w:t>部门</w:t>
      </w:r>
      <w:r>
        <w:rPr>
          <w:rFonts w:hint="eastAsia" w:ascii="仿宋_GB2312" w:hAnsi="仿宋_GB2312" w:eastAsia="仿宋_GB2312" w:cs="仿宋_GB2312"/>
          <w:spacing w:val="4"/>
        </w:rPr>
        <w:t>支出预算表</w:t>
      </w:r>
    </w:p>
    <w:p>
      <w:pPr>
        <w:pStyle w:val="3"/>
        <w:spacing w:before="220" w:line="225" w:lineRule="auto"/>
        <w:ind w:left="796"/>
        <w:rPr>
          <w:rFonts w:hint="eastAsia" w:ascii="仿宋_GB2312" w:hAnsi="仿宋_GB2312" w:eastAsia="仿宋_GB2312" w:cs="仿宋_GB2312"/>
          <w:spacing w:val="4"/>
        </w:rPr>
      </w:pPr>
      <w:r>
        <w:rPr>
          <w:rFonts w:hint="eastAsia" w:ascii="仿宋_GB2312" w:hAnsi="仿宋_GB2312" w:eastAsia="仿宋_GB2312" w:cs="仿宋_GB2312"/>
          <w:spacing w:val="4"/>
        </w:rPr>
        <w:t>四、财政拨款收支预算表</w:t>
      </w:r>
    </w:p>
    <w:p>
      <w:pPr>
        <w:pStyle w:val="3"/>
        <w:spacing w:before="220" w:line="225" w:lineRule="auto"/>
        <w:ind w:left="796"/>
        <w:rPr>
          <w:rFonts w:hint="eastAsia" w:ascii="仿宋_GB2312" w:hAnsi="仿宋_GB2312" w:eastAsia="仿宋_GB2312" w:cs="仿宋_GB2312"/>
          <w:spacing w:val="4"/>
        </w:rPr>
      </w:pPr>
      <w:r>
        <w:rPr>
          <w:rFonts w:hint="eastAsia" w:ascii="仿宋_GB2312" w:hAnsi="仿宋_GB2312" w:eastAsia="仿宋_GB2312" w:cs="仿宋_GB2312"/>
          <w:spacing w:val="4"/>
        </w:rPr>
        <w:t>五、一般公共预算支出预算表</w:t>
      </w:r>
    </w:p>
    <w:p>
      <w:pPr>
        <w:pStyle w:val="3"/>
        <w:spacing w:before="220" w:line="225" w:lineRule="auto"/>
        <w:ind w:left="796"/>
        <w:rPr>
          <w:rFonts w:hint="eastAsia" w:ascii="仿宋_GB2312" w:hAnsi="仿宋_GB2312" w:eastAsia="仿宋_GB2312" w:cs="仿宋_GB2312"/>
          <w:spacing w:val="4"/>
        </w:rPr>
      </w:pPr>
      <w:r>
        <w:rPr>
          <w:rFonts w:hint="eastAsia" w:ascii="仿宋_GB2312" w:hAnsi="仿宋_GB2312" w:eastAsia="仿宋_GB2312" w:cs="仿宋_GB2312"/>
          <w:spacing w:val="4"/>
        </w:rPr>
        <w:t>六、一般公共预算基本支出预算表</w:t>
      </w:r>
    </w:p>
    <w:p>
      <w:pPr>
        <w:pStyle w:val="3"/>
        <w:spacing w:before="220" w:line="225" w:lineRule="auto"/>
        <w:ind w:left="796"/>
        <w:rPr>
          <w:rFonts w:hint="eastAsia" w:ascii="仿宋_GB2312" w:hAnsi="仿宋_GB2312" w:eastAsia="仿宋_GB2312" w:cs="仿宋_GB2312"/>
          <w:spacing w:val="4"/>
        </w:rPr>
      </w:pPr>
      <w:r>
        <w:rPr>
          <w:rFonts w:hint="eastAsia" w:ascii="仿宋_GB2312" w:hAnsi="仿宋_GB2312" w:eastAsia="仿宋_GB2312" w:cs="仿宋_GB2312"/>
          <w:spacing w:val="4"/>
        </w:rPr>
        <w:t>七、支出经济分类汇总表</w:t>
      </w:r>
    </w:p>
    <w:p>
      <w:pPr>
        <w:pStyle w:val="3"/>
        <w:spacing w:before="220" w:line="225" w:lineRule="auto"/>
        <w:ind w:left="796"/>
        <w:rPr>
          <w:rFonts w:hint="eastAsia" w:ascii="仿宋_GB2312" w:hAnsi="仿宋_GB2312" w:eastAsia="仿宋_GB2312" w:cs="仿宋_GB2312"/>
          <w:spacing w:val="4"/>
        </w:rPr>
      </w:pPr>
      <w:r>
        <w:rPr>
          <w:rFonts w:hint="eastAsia" w:ascii="仿宋_GB2312" w:hAnsi="仿宋_GB2312" w:eastAsia="仿宋_GB2312" w:cs="仿宋_GB2312"/>
          <w:spacing w:val="4"/>
        </w:rPr>
        <w:t>八、一般公共预算“三公”经费预算表</w:t>
      </w:r>
    </w:p>
    <w:p>
      <w:pPr>
        <w:pStyle w:val="3"/>
        <w:spacing w:before="220" w:line="225" w:lineRule="auto"/>
        <w:ind w:left="796"/>
        <w:rPr>
          <w:rFonts w:hint="eastAsia" w:ascii="仿宋_GB2312" w:hAnsi="仿宋_GB2312" w:eastAsia="仿宋_GB2312" w:cs="仿宋_GB2312"/>
          <w:spacing w:val="4"/>
        </w:rPr>
      </w:pPr>
      <w:r>
        <w:rPr>
          <w:rFonts w:hint="eastAsia" w:ascii="仿宋_GB2312" w:hAnsi="仿宋_GB2312" w:eastAsia="仿宋_GB2312" w:cs="仿宋_GB2312"/>
          <w:spacing w:val="4"/>
        </w:rPr>
        <w:t>九、政府性基金预算支出预算表</w:t>
      </w:r>
    </w:p>
    <w:p>
      <w:pPr>
        <w:pStyle w:val="3"/>
        <w:spacing w:before="220" w:line="225" w:lineRule="auto"/>
        <w:ind w:left="796"/>
        <w:rPr>
          <w:rFonts w:hint="eastAsia" w:ascii="仿宋_GB2312" w:hAnsi="仿宋_GB2312" w:eastAsia="仿宋_GB2312" w:cs="仿宋_GB2312"/>
          <w:spacing w:val="4"/>
        </w:rPr>
      </w:pPr>
      <w:r>
        <w:rPr>
          <w:rFonts w:hint="eastAsia" w:ascii="仿宋_GB2312" w:hAnsi="仿宋_GB2312" w:eastAsia="仿宋_GB2312" w:cs="仿宋_GB2312"/>
          <w:spacing w:val="4"/>
        </w:rPr>
        <w:t>十、国有资本经营预算支出预算表</w:t>
      </w:r>
    </w:p>
    <w:p>
      <w:pPr>
        <w:pStyle w:val="3"/>
        <w:spacing w:before="220" w:line="225" w:lineRule="auto"/>
        <w:ind w:left="796"/>
        <w:rPr>
          <w:rFonts w:hint="eastAsia" w:ascii="仿宋_GB2312" w:hAnsi="仿宋_GB2312" w:eastAsia="仿宋_GB2312" w:cs="仿宋_GB2312"/>
          <w:spacing w:val="4"/>
        </w:rPr>
      </w:pPr>
      <w:r>
        <w:rPr>
          <w:rFonts w:hint="eastAsia" w:ascii="仿宋_GB2312" w:hAnsi="仿宋_GB2312" w:eastAsia="仿宋_GB2312" w:cs="仿宋_GB2312"/>
          <w:spacing w:val="4"/>
        </w:rPr>
        <w:t>十一、项目支出预算表</w:t>
      </w:r>
    </w:p>
    <w:p>
      <w:pPr>
        <w:pStyle w:val="3"/>
        <w:spacing w:before="220" w:line="225" w:lineRule="auto"/>
        <w:ind w:left="796"/>
        <w:rPr>
          <w:rFonts w:hint="eastAsia" w:ascii="仿宋_GB2312" w:hAnsi="仿宋_GB2312" w:eastAsia="仿宋_GB2312" w:cs="仿宋_GB2312"/>
          <w:spacing w:val="4"/>
        </w:rPr>
      </w:pPr>
      <w:r>
        <w:rPr>
          <w:rFonts w:hint="eastAsia" w:ascii="仿宋_GB2312" w:hAnsi="仿宋_GB2312" w:eastAsia="仿宋_GB2312" w:cs="仿宋_GB2312"/>
          <w:spacing w:val="4"/>
        </w:rPr>
        <w:t>十二、部门整体绩效目标表</w:t>
      </w:r>
    </w:p>
    <w:p>
      <w:pPr>
        <w:pStyle w:val="3"/>
        <w:spacing w:before="220" w:line="225" w:lineRule="auto"/>
        <w:ind w:left="796"/>
        <w:rPr>
          <w:rFonts w:hint="eastAsia" w:ascii="仿宋_GB2312" w:hAnsi="仿宋_GB2312" w:eastAsia="仿宋_GB2312" w:cs="仿宋_GB2312"/>
          <w:spacing w:val="4"/>
        </w:rPr>
      </w:pPr>
      <w:r>
        <w:rPr>
          <w:rFonts w:hint="eastAsia" w:ascii="仿宋_GB2312" w:hAnsi="仿宋_GB2312" w:eastAsia="仿宋_GB2312" w:cs="仿宋_GB2312"/>
          <w:spacing w:val="4"/>
        </w:rPr>
        <w:t>十三、部门预算项目绩效目标表</w:t>
      </w:r>
    </w:p>
    <w:p>
      <w:pPr>
        <w:pStyle w:val="3"/>
        <w:spacing w:before="220" w:line="225" w:lineRule="auto"/>
        <w:ind w:left="796"/>
        <w:rPr>
          <w:rFonts w:hint="eastAsia" w:ascii="仿宋_GB2312" w:hAnsi="仿宋_GB2312" w:eastAsia="仿宋_GB2312" w:cs="仿宋_GB2312"/>
          <w:spacing w:val="4"/>
        </w:rPr>
        <w:sectPr>
          <w:footerReference r:id="rId3" w:type="default"/>
          <w:pgSz w:w="11906" w:h="16839"/>
          <w:pgMar w:top="1814" w:right="1474" w:bottom="1587" w:left="1474" w:header="0" w:footer="848" w:gutter="0"/>
          <w:cols w:space="720" w:num="1"/>
        </w:sectPr>
      </w:pPr>
    </w:p>
    <w:p>
      <w:pPr>
        <w:spacing w:before="114" w:line="227" w:lineRule="auto"/>
        <w:ind w:left="3709"/>
        <w:rPr>
          <w:rFonts w:ascii="黑体" w:hAnsi="黑体" w:eastAsia="黑体" w:cs="黑体"/>
          <w:sz w:val="35"/>
          <w:szCs w:val="35"/>
        </w:rPr>
      </w:pPr>
      <w:r>
        <w:rPr>
          <w:rFonts w:ascii="黑体" w:hAnsi="黑体" w:eastAsia="黑体" w:cs="黑体"/>
          <w:spacing w:val="6"/>
          <w:sz w:val="35"/>
          <w:szCs w:val="35"/>
        </w:rPr>
        <w:t>第一部分</w:t>
      </w:r>
    </w:p>
    <w:p>
      <w:pPr>
        <w:spacing w:before="206" w:line="225" w:lineRule="auto"/>
        <w:ind w:firstLine="2634" w:firstLineChars="800"/>
        <w:jc w:val="both"/>
        <w:rPr>
          <w:rFonts w:ascii="宋体" w:hAnsi="宋体" w:eastAsia="宋体" w:cs="宋体"/>
          <w:b/>
          <w:bCs/>
          <w:sz w:val="31"/>
          <w:szCs w:val="31"/>
        </w:rPr>
      </w:pPr>
      <w:r>
        <w:rPr>
          <w:rFonts w:hint="eastAsia" w:ascii="宋体" w:hAnsi="宋体" w:eastAsia="宋体" w:cs="宋体"/>
          <w:b/>
          <w:bCs/>
          <w:spacing w:val="9"/>
          <w:sz w:val="31"/>
          <w:szCs w:val="31"/>
          <w:lang w:eastAsia="zh-CN"/>
        </w:rPr>
        <w:t>伊川县</w:t>
      </w:r>
      <w:r>
        <w:rPr>
          <w:rFonts w:ascii="宋体" w:hAnsi="宋体" w:eastAsia="宋体" w:cs="宋体"/>
          <w:b/>
          <w:bCs/>
          <w:spacing w:val="9"/>
          <w:sz w:val="31"/>
          <w:szCs w:val="31"/>
        </w:rPr>
        <w:t>交通运输局</w:t>
      </w:r>
      <w:r>
        <w:rPr>
          <w:rFonts w:hint="eastAsia" w:ascii="宋体" w:hAnsi="宋体" w:eastAsia="宋体" w:cs="宋体"/>
          <w:b/>
          <w:bCs/>
          <w:spacing w:val="9"/>
          <w:sz w:val="31"/>
          <w:szCs w:val="31"/>
          <w:lang w:val="en-US" w:eastAsia="zh-CN"/>
        </w:rPr>
        <w:t>部门</w:t>
      </w:r>
      <w:r>
        <w:rPr>
          <w:rFonts w:ascii="宋体" w:hAnsi="宋体" w:eastAsia="宋体" w:cs="宋体"/>
          <w:b/>
          <w:bCs/>
          <w:spacing w:val="9"/>
          <w:sz w:val="31"/>
          <w:szCs w:val="31"/>
        </w:rPr>
        <w:t>概况</w:t>
      </w:r>
    </w:p>
    <w:p>
      <w:pPr>
        <w:spacing w:line="359" w:lineRule="auto"/>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jc w:val="both"/>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一、伊川县交通运输局主要职责</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贯彻执行国家有关交通运输工作的法律、法规和方针、政策；承担涉及全县综合交通运输体系的规划协调工作，会同有关部门研究拟定全县综合交通运输发展战略和政策、组织编制综合交通运输体系规划，统筹衔接平衡公路、水路等规划，指导全县交通运输枢纽规划和管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组织拟订全县公路、水路等行业规划、政策和标准并监督实施。起草相关地方法规、规章草案。参与拟订全县物流业发展战略和规划，拟订有关政策和标准并监督实施。指导全县公路、水路行业有关体制改革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承担全县道路、水路运输市场监管责任。组织拟订全县道路、水路运输市场有关政策、技术标准和运营规范并监督实施。指导全县道路、水路客运及有关设施规划和管理工作，指导全县城乡客运、出租汽车行业管理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承担全县水上交通安全监管责任。负责水上交通管制、水上交通事故调查处理，船舶及相关水上设施检验、登记和防止污染,以及船舶与港口设施安全保障、危险品运输监督、航道管理、渔船检验及其监督管理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5.负责提出全县公路、水路固定资产投资规模和方向、国家和省、市财政性资金安排意见,按规定权限审批、核准国家和省、市规划内及年度计划规模内固定资产投资项目。负责公路、水运工程建设项目设计审批。</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w:t>
      </w:r>
      <w:r>
        <w:rPr>
          <w:rFonts w:hint="eastAsia" w:ascii="仿宋_GB2312" w:hAnsi="仿宋_GB2312" w:eastAsia="仿宋_GB2312" w:cs="仿宋_GB2312"/>
          <w:spacing w:val="-11"/>
          <w:sz w:val="32"/>
          <w:szCs w:val="32"/>
        </w:rPr>
        <w:t>承担全县公路、水路建设市场监管责任。拟定全县公路、</w:t>
      </w:r>
      <w:r>
        <w:rPr>
          <w:rFonts w:hint="eastAsia" w:ascii="仿宋_GB2312" w:hAnsi="仿宋_GB2312" w:eastAsia="仿宋_GB2312" w:cs="仿宋_GB2312"/>
          <w:spacing w:val="0"/>
          <w:sz w:val="32"/>
          <w:szCs w:val="32"/>
        </w:rPr>
        <w:t>水路工程建设和维护相关政策、制度及技术标准并监督实施。组织协调全县公路、水路有关重点工程建设和工程质量、安全生产监督管理工作，指导全县交通运输基础设施建设和维护工作。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w:t>
      </w:r>
      <w:r>
        <w:rPr>
          <w:rFonts w:hint="eastAsia" w:ascii="仿宋_GB2312" w:hAnsi="仿宋_GB2312" w:eastAsia="仿宋_GB2312" w:cs="仿宋_GB2312"/>
          <w:color w:val="000000"/>
          <w:spacing w:val="-11"/>
          <w:sz w:val="32"/>
          <w:szCs w:val="32"/>
        </w:rPr>
        <w:t>负责全县车辆维修市场、机动车驾驶学校及驾驶员培训、</w:t>
      </w:r>
      <w:r>
        <w:rPr>
          <w:rFonts w:hint="eastAsia" w:ascii="仿宋_GB2312" w:hAnsi="仿宋_GB2312" w:eastAsia="仿宋_GB2312" w:cs="仿宋_GB2312"/>
          <w:spacing w:val="0"/>
          <w:sz w:val="32"/>
          <w:szCs w:val="32"/>
        </w:rPr>
        <w:t>车辆综合性能检测的行业管理，负责营运机动车技术检测、运输争议仲裁的监督管理工作。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8.指导全县公路、水路行业安全生产和应急管理工作。按规定组织协调国家重点物资和紧急客货运输，负责洛界高速公路及重点干线路网运行监测和协调工作。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9.指导全县交通运输信息化建设，监测分析运行情况，做好网络安全工作，开展相关统计工作，发布有关信息。指导全县公路、水路行业环境保护和节能减排工作。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10.负责全县交通运输行业综合行政执法工作的统筹协调和监督指导。</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11.拟定全县交通运输行业科技政策并监督实施。组织重大科技研发，推动行业科技进步。</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12.负责全县交通运输行业对外经济技术合作、引进利用外资、开展国际交流与合作。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13.完成县委、市政府交办的其他任务。</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jc w:val="both"/>
        <w:textAlignment w:val="baseline"/>
        <w:rPr>
          <w:rFonts w:hint="eastAsia" w:ascii="黑体" w:hAnsi="黑体" w:eastAsia="黑体" w:cs="黑体"/>
          <w:spacing w:val="-2"/>
          <w:sz w:val="32"/>
          <w:szCs w:val="32"/>
        </w:rPr>
      </w:pPr>
      <w:r>
        <w:rPr>
          <w:rFonts w:hint="eastAsia" w:ascii="黑体" w:hAnsi="黑体" w:eastAsia="黑体" w:cs="黑体"/>
          <w:spacing w:val="-2"/>
          <w:sz w:val="32"/>
          <w:szCs w:val="32"/>
        </w:rPr>
        <w:t>二、伊川县交通运输局预算部门构成情况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伊川县交通运输局部门预算包括机关本级预算和所属单位预算在内的汇总预算。</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伊川县交通运输局本级预算包括：综合办公室、组织人事股、财务审计股、运输管理股、公路股、党办等预算股室。</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伊川县交通运输局部门所属单位预算包括：</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1.伊川县交通运输局本级;</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2.伊川县道路运输服务中心；</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3.伊川县交通运输综合行政执法大队；</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4.伊川县公路事业发展中心；</w:t>
      </w:r>
    </w:p>
    <w:p>
      <w:pPr>
        <w:spacing w:line="302" w:lineRule="auto"/>
      </w:pPr>
    </w:p>
    <w:p>
      <w:pPr>
        <w:spacing w:line="303" w:lineRule="auto"/>
      </w:pPr>
    </w:p>
    <w:p>
      <w:pPr>
        <w:spacing w:before="114" w:line="227" w:lineRule="auto"/>
        <w:ind w:left="3703"/>
        <w:rPr>
          <w:rFonts w:ascii="黑体" w:hAnsi="黑体" w:eastAsia="黑体" w:cs="黑体"/>
          <w:spacing w:val="6"/>
          <w:sz w:val="35"/>
          <w:szCs w:val="35"/>
        </w:rPr>
      </w:pPr>
    </w:p>
    <w:p>
      <w:pPr>
        <w:spacing w:before="114" w:line="227" w:lineRule="auto"/>
        <w:ind w:left="3703"/>
        <w:rPr>
          <w:rFonts w:ascii="黑体" w:hAnsi="黑体" w:eastAsia="黑体" w:cs="黑体"/>
          <w:spacing w:val="6"/>
          <w:sz w:val="35"/>
          <w:szCs w:val="35"/>
        </w:rPr>
      </w:pPr>
    </w:p>
    <w:p>
      <w:pPr>
        <w:spacing w:before="114" w:line="227" w:lineRule="auto"/>
        <w:ind w:left="3703"/>
        <w:rPr>
          <w:rFonts w:ascii="黑体" w:hAnsi="黑体" w:eastAsia="黑体" w:cs="黑体"/>
          <w:spacing w:val="6"/>
          <w:sz w:val="35"/>
          <w:szCs w:val="35"/>
        </w:rPr>
      </w:pPr>
    </w:p>
    <w:p>
      <w:pPr>
        <w:spacing w:before="114" w:line="227" w:lineRule="auto"/>
        <w:ind w:left="3703"/>
        <w:rPr>
          <w:rFonts w:ascii="黑体" w:hAnsi="黑体" w:eastAsia="黑体" w:cs="黑体"/>
          <w:spacing w:val="6"/>
          <w:sz w:val="35"/>
          <w:szCs w:val="35"/>
        </w:rPr>
      </w:pPr>
    </w:p>
    <w:p>
      <w:pPr>
        <w:spacing w:before="114" w:line="227" w:lineRule="auto"/>
        <w:ind w:left="3703"/>
        <w:rPr>
          <w:rFonts w:ascii="黑体" w:hAnsi="黑体" w:eastAsia="黑体" w:cs="黑体"/>
          <w:spacing w:val="6"/>
          <w:sz w:val="35"/>
          <w:szCs w:val="35"/>
        </w:rPr>
      </w:pPr>
    </w:p>
    <w:p>
      <w:pPr>
        <w:spacing w:before="114" w:line="227" w:lineRule="auto"/>
        <w:ind w:left="3703"/>
        <w:rPr>
          <w:rFonts w:ascii="黑体" w:hAnsi="黑体" w:eastAsia="黑体" w:cs="黑体"/>
          <w:spacing w:val="6"/>
          <w:sz w:val="35"/>
          <w:szCs w:val="35"/>
        </w:rPr>
      </w:pPr>
    </w:p>
    <w:p>
      <w:pPr>
        <w:spacing w:before="114" w:line="227" w:lineRule="auto"/>
        <w:ind w:left="3703"/>
        <w:rPr>
          <w:rFonts w:ascii="黑体" w:hAnsi="黑体" w:eastAsia="黑体" w:cs="黑体"/>
          <w:spacing w:val="6"/>
          <w:sz w:val="35"/>
          <w:szCs w:val="35"/>
        </w:rPr>
      </w:pPr>
    </w:p>
    <w:p>
      <w:pPr>
        <w:spacing w:before="114" w:line="227" w:lineRule="auto"/>
        <w:ind w:left="3703"/>
        <w:rPr>
          <w:rFonts w:ascii="黑体" w:hAnsi="黑体" w:eastAsia="黑体" w:cs="黑体"/>
          <w:spacing w:val="6"/>
          <w:sz w:val="35"/>
          <w:szCs w:val="35"/>
        </w:rPr>
      </w:pPr>
    </w:p>
    <w:p>
      <w:pPr>
        <w:spacing w:before="114" w:line="227" w:lineRule="auto"/>
        <w:ind w:firstLine="3982" w:firstLineChars="1100"/>
        <w:rPr>
          <w:rFonts w:ascii="黑体" w:hAnsi="黑体" w:eastAsia="黑体" w:cs="黑体"/>
          <w:sz w:val="35"/>
          <w:szCs w:val="35"/>
        </w:rPr>
      </w:pPr>
      <w:r>
        <w:rPr>
          <w:rFonts w:ascii="黑体" w:hAnsi="黑体" w:eastAsia="黑体" w:cs="黑体"/>
          <w:spacing w:val="6"/>
          <w:sz w:val="35"/>
          <w:szCs w:val="35"/>
        </w:rPr>
        <w:t>第二部分</w:t>
      </w:r>
    </w:p>
    <w:p>
      <w:pPr>
        <w:spacing w:before="206" w:line="225" w:lineRule="auto"/>
        <w:ind w:left="1647"/>
        <w:rPr>
          <w:rFonts w:ascii="宋体" w:hAnsi="宋体" w:eastAsia="宋体" w:cs="宋体"/>
          <w:b/>
          <w:bCs/>
          <w:sz w:val="31"/>
          <w:szCs w:val="31"/>
        </w:rPr>
      </w:pPr>
      <w:r>
        <w:rPr>
          <w:rFonts w:ascii="Times New Roman" w:hAnsi="Times New Roman" w:eastAsia="Times New Roman" w:cs="Times New Roman"/>
          <w:b/>
          <w:bCs/>
          <w:spacing w:val="9"/>
          <w:sz w:val="31"/>
          <w:szCs w:val="31"/>
        </w:rPr>
        <w:t>202</w:t>
      </w:r>
      <w:r>
        <w:rPr>
          <w:rFonts w:hint="eastAsia" w:ascii="Times New Roman" w:hAnsi="Times New Roman" w:eastAsia="宋体" w:cs="Times New Roman"/>
          <w:b/>
          <w:bCs/>
          <w:spacing w:val="9"/>
          <w:sz w:val="31"/>
          <w:szCs w:val="31"/>
          <w:lang w:eastAsia="zh-CN"/>
        </w:rPr>
        <w:t>2</w:t>
      </w:r>
      <w:r>
        <w:rPr>
          <w:rFonts w:ascii="宋体" w:hAnsi="宋体" w:eastAsia="宋体" w:cs="宋体"/>
          <w:b/>
          <w:bCs/>
          <w:spacing w:val="9"/>
          <w:sz w:val="31"/>
          <w:szCs w:val="31"/>
        </w:rPr>
        <w:t>年</w:t>
      </w:r>
      <w:r>
        <w:rPr>
          <w:rFonts w:hint="eastAsia" w:ascii="宋体" w:hAnsi="宋体" w:eastAsia="宋体" w:cs="宋体"/>
          <w:b/>
          <w:bCs/>
          <w:spacing w:val="9"/>
          <w:sz w:val="31"/>
          <w:szCs w:val="31"/>
          <w:lang w:eastAsia="zh-CN"/>
        </w:rPr>
        <w:t>伊川县</w:t>
      </w:r>
      <w:r>
        <w:rPr>
          <w:rFonts w:ascii="宋体" w:hAnsi="宋体" w:eastAsia="宋体" w:cs="宋体"/>
          <w:b/>
          <w:bCs/>
          <w:spacing w:val="9"/>
          <w:sz w:val="31"/>
          <w:szCs w:val="31"/>
        </w:rPr>
        <w:t>交通运输局</w:t>
      </w:r>
      <w:r>
        <w:rPr>
          <w:rFonts w:hint="eastAsia" w:ascii="宋体" w:hAnsi="宋体" w:eastAsia="宋体" w:cs="宋体"/>
          <w:b/>
          <w:bCs/>
          <w:spacing w:val="9"/>
          <w:sz w:val="31"/>
          <w:szCs w:val="31"/>
          <w:lang w:val="en-US" w:eastAsia="zh-CN"/>
        </w:rPr>
        <w:t>部门</w:t>
      </w:r>
      <w:r>
        <w:rPr>
          <w:rFonts w:ascii="宋体" w:hAnsi="宋体" w:eastAsia="宋体" w:cs="宋体"/>
          <w:b/>
          <w:bCs/>
          <w:spacing w:val="9"/>
          <w:sz w:val="31"/>
          <w:szCs w:val="31"/>
        </w:rPr>
        <w:t>预算情况说明</w:t>
      </w:r>
    </w:p>
    <w:p>
      <w:pPr>
        <w:spacing w:line="359" w:lineRule="auto"/>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一、收入支出预算总体情况说明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伊川县交通运输局2022年收入总计10411.07万元，支出总计10411.07万元，与2021年预算相比,收入增加4078.49万元，增加64.40%。主要原因：去年结转纳入财政预算;支出增加</w:t>
      </w:r>
      <w:r>
        <w:rPr>
          <w:rFonts w:hint="eastAsia" w:ascii="仿宋_GB2312" w:hAnsi="仿宋_GB2312" w:eastAsia="仿宋_GB2312" w:cs="仿宋_GB2312"/>
          <w:spacing w:val="-6"/>
          <w:sz w:val="32"/>
          <w:szCs w:val="32"/>
        </w:rPr>
        <w:t>4078.49万元，增长64.40%，主要原因:去年结转5470.04万元。</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二、收入预算总体情况说明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596" w:firstLineChars="200"/>
        <w:jc w:val="both"/>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伊川县交通运输局2022年收入合计10411.07万元，其中：一般公共预算拨款收入4941.03万元；上年结转结余5470.04万元。</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三、支出预算总体情况说明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伊川县交通运输局2022年支出合计10411.07万元，其中：</w:t>
      </w:r>
      <w:r>
        <w:rPr>
          <w:rFonts w:hint="eastAsia" w:ascii="仿宋_GB2312" w:hAnsi="仿宋_GB2312" w:eastAsia="仿宋_GB2312" w:cs="仿宋_GB2312"/>
          <w:sz w:val="32"/>
          <w:szCs w:val="32"/>
        </w:rPr>
        <w:t>基本支出2869.20万元，占27.56%；项目支出7541.87万元，占72.44%。</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四、财政拨款收入支出预算总体情况说明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伊川县交通运输局2022年一般公共预算收支预算10411.07万元。与2021年相比，一般公共预算收支预算增加4078.49万元，增长64.40%，主要原因：增加结转资金。</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五、一般公共预算支出预算情况说明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伊川县交通运输局2022年一般公共预算支出年初预算为10411.07万元.其中：基本支出2869.20万元,占27.56%；项目支出7541.87万元,占72.44%。</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六、一般公共预算基本支出预算情况说明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伊川县交通运输局2022年一般公共预算基本支出年初预算2869.20万元。其中：人员经费支出2185.77万元，占76.18%；公用经费支出683.43万元，占23.82%。</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七、一般公共预算“三公”经费支出预算情况说明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伊川县交通运输局2022年“三公”经费支出预算为20.92万元。2022年“三公”经费支出预算数与2021年一致。具体支出情况如下：</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（一）因公出国（境）费0万元，</w:t>
      </w:r>
      <w:r>
        <w:rPr>
          <w:rFonts w:hint="eastAsia" w:ascii="仿宋_GB2312" w:hAnsi="仿宋_GB2312" w:eastAsia="仿宋_GB2312" w:cs="仿宋_GB2312"/>
          <w:sz w:val="32"/>
          <w:szCs w:val="32"/>
        </w:rPr>
        <w:t>主要用于单位工作人员公务出国（境）的住宿费、旅费、伙食补助费、杂费、培训费等支出。预算数与2021年保持一致。</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（二）公务接待费0万元，</w:t>
      </w:r>
      <w:r>
        <w:rPr>
          <w:rFonts w:hint="eastAsia" w:ascii="仿宋_GB2312" w:hAnsi="仿宋_GB2312" w:eastAsia="仿宋_GB2312" w:cs="仿宋_GB2312"/>
          <w:sz w:val="32"/>
          <w:szCs w:val="32"/>
        </w:rPr>
        <w:t>主要用于按规定开支的各类务接待（含外宾接待）支出。预算数与2021年保持一致。</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（三）公务用车购置及运行费20.92万元，</w:t>
      </w:r>
      <w:r>
        <w:rPr>
          <w:rFonts w:hint="eastAsia" w:ascii="仿宋_GB2312" w:hAnsi="仿宋_GB2312" w:eastAsia="仿宋_GB2312" w:cs="仿宋_GB2312"/>
          <w:sz w:val="32"/>
          <w:szCs w:val="32"/>
        </w:rPr>
        <w:t>其中：公务用车购置费0万元；公务用车运行维护费20.92万万元，主要用于开展工作所需公务用车的燃料费、维修费、过路过桥费、保险费等支出。公务用车购置费预算数与2021年保持一致。公务用车运行维护费预算数比2021年一致。</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八、政府性基金支出预算情况说明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伊川县交通运输局2022年无政府性基金预算拨款安排支出。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九、国有资本经营预算支出预算情况说明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5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县交通运输局2022年无国有资本经营预算拨款安排的支出。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十、其他重要事项情况说明</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（一）行政（事业）单位机构运行经费支出预算情况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川县交通运输局2022年部门运行经费支出预算683.43万元，主要保障机构正常运转及正常履职需要所需支出，包含公用经费、公务交通补贴、工会经费、职工福利费等。与2021年相比减少33.7万元，降低4.70%。主要原因：压缩经费开支。</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（二）政府采购支出预算情况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2022年政府采购预算安排0万元，其中：政府采购货物预算0万元、政府采购工程预算0万元、政府采购服务预算0万元。</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（三）绩效目标设置情况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伊川县交通运输局2022年预算项目均按要求编制了绩效目标，2022年线配套养护资金800万元、万村通客运提质工程225万元等，从项目产出、满意度等方面设置了绩效指标，综合反映项目预期完成的数量、实</w:t>
      </w:r>
      <w:bookmarkStart w:id="0" w:name="_GoBack"/>
      <w:bookmarkEnd w:id="0"/>
      <w:r>
        <w:rPr>
          <w:rFonts w:hint="eastAsia" w:ascii="仿宋_GB2312" w:hAnsi="仿宋_GB2312" w:eastAsia="仿宋_GB2312" w:cs="仿宋_GB2312"/>
          <w:sz w:val="32"/>
          <w:szCs w:val="32"/>
        </w:rPr>
        <w:t>效、质量，预期达到了社会经济效益、可持续影响以及服务对象满意度等情况。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（四）国有资产占用情况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2022年期末，县交通运输局共有车辆40辆，其中：一般公</w:t>
      </w:r>
      <w:r>
        <w:rPr>
          <w:rFonts w:hint="eastAsia" w:ascii="仿宋_GB2312" w:hAnsi="仿宋_GB2312" w:eastAsia="仿宋_GB2312" w:cs="仿宋_GB2312"/>
          <w:spacing w:val="-6"/>
          <w:sz w:val="32"/>
          <w:szCs w:val="32"/>
        </w:rPr>
        <w:t>务用车18辆、一般执法执勤用车10辆、特种专业技术用车7辆，</w:t>
      </w:r>
      <w:r>
        <w:rPr>
          <w:rFonts w:hint="eastAsia" w:ascii="仿宋_GB2312" w:hAnsi="仿宋_GB2312" w:eastAsia="仿宋_GB2312" w:cs="仿宋_GB2312"/>
          <w:sz w:val="32"/>
          <w:szCs w:val="32"/>
        </w:rPr>
        <w:t>其他用车5辆，其他用车主要是自卸低速车；单位价值50万元以上通用设备0套，单位价值100万元以上专用设备1套。</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（五）专项转移支付项目情况</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伊川县交通运输局2022年无负责管理的专项转移支付项目。</w:t>
      </w: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2" w:lineRule="auto"/>
      </w:pPr>
    </w:p>
    <w:p>
      <w:pPr>
        <w:spacing w:line="303" w:lineRule="auto"/>
      </w:pPr>
    </w:p>
    <w:p>
      <w:pPr>
        <w:spacing w:before="114" w:line="227" w:lineRule="auto"/>
        <w:ind w:left="3702"/>
        <w:rPr>
          <w:rFonts w:ascii="黑体" w:hAnsi="黑体" w:eastAsia="黑体" w:cs="黑体"/>
          <w:sz w:val="35"/>
          <w:szCs w:val="35"/>
        </w:rPr>
      </w:pPr>
      <w:r>
        <w:rPr>
          <w:rFonts w:ascii="黑体" w:hAnsi="黑体" w:eastAsia="黑体" w:cs="黑体"/>
          <w:spacing w:val="6"/>
          <w:sz w:val="35"/>
          <w:szCs w:val="35"/>
        </w:rPr>
        <w:t>第三部分</w:t>
      </w:r>
    </w:p>
    <w:p>
      <w:pPr>
        <w:spacing w:before="206" w:line="225" w:lineRule="auto"/>
        <w:ind w:left="3781"/>
        <w:rPr>
          <w:rFonts w:ascii="宋体" w:hAnsi="宋体" w:eastAsia="宋体" w:cs="宋体"/>
          <w:b/>
          <w:bCs/>
          <w:spacing w:val="6"/>
          <w:sz w:val="31"/>
          <w:szCs w:val="31"/>
        </w:rPr>
      </w:pPr>
      <w:r>
        <w:rPr>
          <w:rFonts w:ascii="宋体" w:hAnsi="宋体" w:eastAsia="宋体" w:cs="宋体"/>
          <w:b/>
          <w:bCs/>
          <w:spacing w:val="6"/>
          <w:sz w:val="31"/>
          <w:szCs w:val="31"/>
        </w:rPr>
        <w:t>名词解释</w:t>
      </w:r>
    </w:p>
    <w:p>
      <w:pPr>
        <w:spacing w:before="206" w:line="225" w:lineRule="auto"/>
        <w:ind w:left="3781"/>
        <w:rPr>
          <w:rFonts w:ascii="宋体" w:hAnsi="宋体" w:eastAsia="宋体" w:cs="宋体"/>
          <w:spacing w:val="6"/>
          <w:sz w:val="31"/>
          <w:szCs w:val="31"/>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一、财政拨款收入：是指同级财政拨付的资金：包括一般公共预算拨款、政府性基金预算拨款、国有资本经营预算拨款。</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二、事业收入：是指事业单位开展专业活动及辅助活动所取得的收入。</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三、其他收入：是指单位取得的除“财政拨款”、“事业收入”、“事业单位经营收入”等以外的收入。</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五、基本支出：是指为保障机构正常运转、完成日常工作任务所必需的开支，其内容包括人员经费和日常公用经费两部分。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六、项目支出：是指在基本支出之外，为完成特定的行政工作任务或事业发展目标所发生的支出。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三公”经费：是指纳入同级财政预算管理，单位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八、行政（事业）单位机构运行经费：是指为保障行政单位（包括行政单位和事业单位）运行用于购买货物和服务</w:t>
      </w:r>
      <w:r>
        <w:rPr>
          <w:rFonts w:hint="eastAsia" w:ascii="仿宋_GB2312" w:hAnsi="仿宋_GB2312" w:eastAsia="仿宋_GB2312" w:cs="仿宋_GB2312"/>
          <w:spacing w:val="-6"/>
          <w:sz w:val="32"/>
          <w:szCs w:val="32"/>
        </w:rPr>
        <w:t>的各项资金，包括办公及印刷费、邮电费、差旅费、会议费、</w:t>
      </w:r>
      <w:r>
        <w:rPr>
          <w:rFonts w:hint="eastAsia" w:ascii="仿宋_GB2312" w:hAnsi="仿宋_GB2312" w:eastAsia="仿宋_GB2312" w:cs="仿宋_GB2312"/>
          <w:spacing w:val="6"/>
          <w:sz w:val="32"/>
          <w:szCs w:val="32"/>
        </w:rPr>
        <w:t>福利费、日常维修费及一般设备购置费、办公用房水电费、办公用房取暖费、办公用房物业管理费、公务用车运行维护费以及其他费用。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64" w:firstLineChars="200"/>
        <w:textAlignment w:val="baseline"/>
        <w:rPr>
          <w:rFonts w:hint="eastAsia" w:ascii="仿宋_GB2312" w:hAnsi="仿宋_GB2312" w:eastAsia="仿宋_GB2312" w:cs="仿宋_GB2312"/>
          <w:spacing w:val="6"/>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67" w:firstLineChars="200"/>
        <w:textAlignment w:val="baseline"/>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附件：2022年伊川县交通运输局（部门）预算表</w:t>
      </w:r>
    </w:p>
    <w:p>
      <w:pPr>
        <w:spacing w:before="206" w:line="225" w:lineRule="auto"/>
        <w:rPr>
          <w:rFonts w:ascii="宋体" w:hAnsi="宋体" w:eastAsia="宋体" w:cs="宋体"/>
          <w:spacing w:val="6"/>
          <w:sz w:val="31"/>
          <w:szCs w:val="31"/>
        </w:rPr>
      </w:pPr>
    </w:p>
    <w:sectPr>
      <w:footerReference r:id="rId4" w:type="default"/>
      <w:pgSz w:w="11905" w:h="16837"/>
      <w:pgMar w:top="1984" w:right="1587" w:bottom="1701"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85"/>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YWI4ODgyZDQyMzFhMmMwNDdiNzJhZDE5M2IxYTcifQ=="/>
  </w:docVars>
  <w:rsids>
    <w:rsidRoot w:val="007B7F4C"/>
    <w:rsid w:val="00255E17"/>
    <w:rsid w:val="00324747"/>
    <w:rsid w:val="0066289A"/>
    <w:rsid w:val="007B7F4C"/>
    <w:rsid w:val="008B598D"/>
    <w:rsid w:val="00E16C9C"/>
    <w:rsid w:val="01D519D4"/>
    <w:rsid w:val="039948EF"/>
    <w:rsid w:val="062E0315"/>
    <w:rsid w:val="06965997"/>
    <w:rsid w:val="08C412E5"/>
    <w:rsid w:val="08F33CE7"/>
    <w:rsid w:val="09175C04"/>
    <w:rsid w:val="0A4679E7"/>
    <w:rsid w:val="0BD74131"/>
    <w:rsid w:val="0DDF6BF9"/>
    <w:rsid w:val="0F6242F8"/>
    <w:rsid w:val="133D4170"/>
    <w:rsid w:val="17134B8D"/>
    <w:rsid w:val="17977376"/>
    <w:rsid w:val="18A77E8B"/>
    <w:rsid w:val="1AA22C07"/>
    <w:rsid w:val="1AF62604"/>
    <w:rsid w:val="24B403E6"/>
    <w:rsid w:val="2753306D"/>
    <w:rsid w:val="2A6C395E"/>
    <w:rsid w:val="30E04C45"/>
    <w:rsid w:val="3660512F"/>
    <w:rsid w:val="396D695A"/>
    <w:rsid w:val="3AF27BE8"/>
    <w:rsid w:val="3E562FA7"/>
    <w:rsid w:val="485503D2"/>
    <w:rsid w:val="4F652ECD"/>
    <w:rsid w:val="52136162"/>
    <w:rsid w:val="53EB0B37"/>
    <w:rsid w:val="56131F41"/>
    <w:rsid w:val="56E56477"/>
    <w:rsid w:val="57AC6D10"/>
    <w:rsid w:val="59CE54CA"/>
    <w:rsid w:val="59FC0F8A"/>
    <w:rsid w:val="5B1450D1"/>
    <w:rsid w:val="5B3E43C4"/>
    <w:rsid w:val="5B6A248D"/>
    <w:rsid w:val="62C518CC"/>
    <w:rsid w:val="632C1C5A"/>
    <w:rsid w:val="644B7CE8"/>
    <w:rsid w:val="68523421"/>
    <w:rsid w:val="6E733A43"/>
    <w:rsid w:val="6EAF0FC6"/>
    <w:rsid w:val="7142454F"/>
    <w:rsid w:val="71DF21D8"/>
    <w:rsid w:val="73181B22"/>
    <w:rsid w:val="73B674C4"/>
    <w:rsid w:val="74097798"/>
    <w:rsid w:val="76964530"/>
    <w:rsid w:val="77CF5907"/>
    <w:rsid w:val="78AC0BF7"/>
    <w:rsid w:val="7AFC649B"/>
    <w:rsid w:val="7CCA20A3"/>
    <w:rsid w:val="7EB22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仿宋" w:hAnsi="仿宋" w:eastAsia="仿宋" w:cs="仿宋"/>
      <w:sz w:val="31"/>
      <w:szCs w:val="31"/>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3463</Words>
  <Characters>3769</Characters>
  <Lines>163</Lines>
  <Paragraphs>46</Paragraphs>
  <TotalTime>4</TotalTime>
  <ScaleCrop>false</ScaleCrop>
  <LinksUpToDate>false</LinksUpToDate>
  <CharactersWithSpaces>3772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2048-02-03T00:02:00Z</dcterms:created>
  <dc:creator>DELL</dc:creator>
  <cp:lastModifiedBy>搏美广告（2）</cp:lastModifiedBy>
  <dcterms:modified xsi:type="dcterms:W3CDTF">2023-07-11T08:51:18Z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2023-05-04T10:01:51Z</vt:filetime>
  </property>
  <property fmtid="{D5CDD505-2E9C-101B-9397-08002B2CF9AE}" pid="4" name="KSOProductBuildVer">
    <vt:lpwstr>2052-11.1.0.14309</vt:lpwstr>
  </property>
  <property fmtid="{D5CDD505-2E9C-101B-9397-08002B2CF9AE}" pid="5" name="ICV">
    <vt:lpwstr>C096EA3C641B4A27927D1B691C4FF30A_13</vt:lpwstr>
  </property>
</Properties>
</file>