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84" w:line="215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2022年伊川县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本级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预算说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7"/>
          <w:sz w:val="36"/>
          <w:szCs w:val="36"/>
          <w14:textFill>
            <w14:solidFill>
              <w14:schemeClr w14:val="tx1"/>
            </w14:solidFill>
          </w14:textFill>
        </w:rPr>
        <w:t>明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255" w:lineRule="auto"/>
        <w:jc w:val="both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256" w:lineRule="auto"/>
        <w:jc w:val="both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638" w:lineRule="exact"/>
        <w:ind w:left="3787"/>
        <w:jc w:val="both"/>
        <w:rPr>
          <w:rFonts w:hint="default" w:ascii="Times New Roman" w:hAnsi="Times New Roman" w:eastAsia="黑体" w:cs="Times New Roman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0"/>
          <w:position w:val="22"/>
          <w:sz w:val="35"/>
          <w:szCs w:val="35"/>
          <w14:textFill>
            <w14:solidFill>
              <w14:schemeClr w14:val="tx1"/>
            </w14:solidFill>
          </w14:textFill>
        </w:rPr>
        <w:t>目录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第一部分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伊川县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概</w:t>
      </w:r>
      <w:r>
        <w:rPr>
          <w:rFonts w:hint="default" w:ascii="Times New Roman" w:hAnsi="Times New Roman" w:eastAsia="黑体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68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7"/>
          <w:position w:val="3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" w:cs="Times New Roman"/>
          <w:color w:val="000000" w:themeColor="text1"/>
          <w:spacing w:val="4"/>
          <w:position w:val="3"/>
          <w:sz w:val="32"/>
          <w:szCs w:val="32"/>
          <w14:textFill>
            <w14:solidFill>
              <w14:schemeClr w14:val="tx1"/>
            </w14:solidFill>
          </w14:textFill>
        </w:rPr>
        <w:t>、主要职责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leftChars="0" w:right="0" w:firstLine="699" w:firstLineChars="201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4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pacing w:val="7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单位所属预算单位构成情况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第二部分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Times New Roman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黑体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年伊川县</w:t>
      </w:r>
      <w:r>
        <w:rPr>
          <w:rFonts w:hint="default" w:ascii="Times New Roman" w:hAnsi="Times New Roman" w:eastAsia="黑体" w:cs="Times New Roman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单位预算情况说明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名词解释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68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Times New Roman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黑体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年伊川县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单位预算</w:t>
      </w:r>
      <w:r>
        <w:rPr>
          <w:rFonts w:hint="default" w:ascii="Times New Roman" w:hAnsi="Times New Roman" w:eastAsia="黑体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9"/>
          <w:position w:val="3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position w:val="3"/>
          <w:sz w:val="32"/>
          <w:szCs w:val="32"/>
          <w14:textFill>
            <w14:solidFill>
              <w14:schemeClr w14:val="tx1"/>
            </w14:solidFill>
          </w14:textFill>
        </w:rPr>
        <w:t>、单位收支预算表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1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、单位收入预算表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三、单位支出预算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、财政拨款收支预算表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9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、一般公共预算支出预算表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、一般公共预算基本支出预算表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、支出经济分类汇总表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80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、一般公共预算</w:t>
      </w:r>
      <w:r>
        <w:rPr>
          <w:rFonts w:hint="default" w:ascii="Times New Roman" w:hAnsi="Times New Roman" w:eastAsia="Times New Roman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default" w:ascii="Times New Roman" w:hAnsi="Times New Roman" w:eastAsia="Times New Roman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经费预算表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704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" w:cs="Times New Roman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政府性基金预算支出预算表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84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、国有资本经营预算支出预算表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一、项目支出预算表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right="0" w:firstLine="672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十二、单位整体绩效目标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228" w:line="222" w:lineRule="auto"/>
        <w:jc w:val="center"/>
        <w:rPr>
          <w:rFonts w:hint="default" w:ascii="Times New Roman" w:hAnsi="Times New Roman" w:eastAsia="黑体" w:cs="Times New Roman"/>
          <w:color w:val="000000" w:themeColor="text1"/>
          <w:spacing w:val="4"/>
          <w:position w:val="20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228" w:line="360" w:lineRule="auto"/>
        <w:jc w:val="center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4"/>
          <w:position w:val="20"/>
          <w:sz w:val="36"/>
          <w:szCs w:val="36"/>
          <w14:textFill>
            <w14:solidFill>
              <w14:schemeClr w14:val="tx1"/>
            </w14:solidFill>
          </w14:textFill>
        </w:rPr>
        <w:t>第一部分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10"/>
          <w:sz w:val="36"/>
          <w:szCs w:val="36"/>
          <w14:textFill>
            <w14:solidFill>
              <w14:schemeClr w14:val="tx1"/>
            </w14:solidFill>
          </w14:textFill>
        </w:rPr>
        <w:t>伊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川县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发展和改革委员会概况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line="359" w:lineRule="auto"/>
        <w:jc w:val="both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360" w:lineRule="auto"/>
        <w:ind w:left="0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8"/>
          <w:position w:val="4"/>
          <w:sz w:val="32"/>
          <w:szCs w:val="32"/>
          <w14:textFill>
            <w14:solidFill>
              <w14:schemeClr w14:val="tx1"/>
            </w14:solidFill>
          </w14:textFill>
        </w:rPr>
        <w:t>一、伊川县发展和改革委员会主要职</w:t>
      </w:r>
      <w:r>
        <w:rPr>
          <w:rFonts w:hint="default" w:ascii="Times New Roman" w:hAnsi="Times New Roman" w:eastAsia="黑体" w:cs="Times New Roman"/>
          <w:color w:val="000000" w:themeColor="text1"/>
          <w:spacing w:val="7"/>
          <w:position w:val="4"/>
          <w:sz w:val="32"/>
          <w:szCs w:val="32"/>
          <w14:textFill>
            <w14:solidFill>
              <w14:schemeClr w14:val="tx1"/>
            </w14:solidFill>
          </w14:textFill>
        </w:rPr>
        <w:t>责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 w:firstLine="68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监测分析全县宏观经济形势和国内外经济发展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变化，进行宏观经济和社会发展的预测预警。研究提出关于全县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国民经济和社会发展战略、规划生产力布局的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建议，提出国民经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济和社会中长期发展、总量平衡及结构调整的目标和政策。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 w:firstLine="68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监测分析全县经济运行态势并提出相关政策建议。组织研究全县国民经济和社会发展、改革开放中的重大问题并提出政策建议。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 w:firstLine="68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监测预测全县价格总水平变动状况，提出价格总水平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调控目标、政策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和价格改革建议。拟定全县控制价格总水平的目标和价格宏观调控措施建议。负责对物价总水平进行监测、预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测和分析。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 w:firstLine="68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研究拟</w:t>
      </w:r>
      <w:r>
        <w:rPr>
          <w:rFonts w:hint="default" w:ascii="Times New Roman" w:hAnsi="Times New Roman" w:eastAsia="仿宋" w:cs="Times New Roman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订重大项目稽察监管的法规、规章；承担全县重大建设项目和县级以上政府投资项目的稽察责任；对违规问题，按有关规定提出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处理意见。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 w:firstLine="68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负责全县重点建设项目的质量监督和质量评定工作。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负责组织对重点建设项目的建设单位进行年度目标责任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考核、评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N w:val="0"/>
        <w:bidi w:val="0"/>
        <w:adjustRightInd w:val="0"/>
        <w:snapToGrid w:val="0"/>
        <w:spacing w:line="570" w:lineRule="exact"/>
        <w:ind w:lef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19"/>
          <w:sz w:val="32"/>
          <w:szCs w:val="32"/>
          <w14:textFill>
            <w14:solidFill>
              <w14:schemeClr w14:val="tx1"/>
            </w14:solidFill>
          </w14:textFill>
        </w:rPr>
        <w:t>比工作。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15"/>
          <w:positio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left="0" w:firstLine="700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15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、伊川县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color w:val="000000" w:themeColor="text1"/>
          <w:spacing w:val="8"/>
          <w:position w:val="2"/>
          <w:sz w:val="32"/>
          <w:szCs w:val="32"/>
          <w14:textFill>
            <w14:solidFill>
              <w14:schemeClr w14:val="tx1"/>
            </w14:solidFill>
          </w14:textFill>
        </w:rPr>
        <w:t>预算单位构成情况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720" w:firstLineChars="200"/>
        <w:jc w:val="both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本预算为</w:t>
      </w:r>
      <w:r>
        <w:rPr>
          <w:rFonts w:hint="default" w:ascii="Times New Roman" w:hAnsi="Times New Roman" w:eastAsia="仿宋" w:cs="Times New Roman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伊</w:t>
      </w:r>
      <w:r>
        <w:rPr>
          <w:rFonts w:hint="default" w:ascii="Times New Roman" w:hAnsi="Times New Roman" w:eastAsia="仿宋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川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发展和改革委员会本级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包括：党政办公室、国民经济</w:t>
      </w:r>
      <w:r>
        <w:rPr>
          <w:rFonts w:hint="default" w:ascii="Times New Roman" w:hAnsi="Times New Roman" w:eastAsia="仿宋" w:cs="Times New Roman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综</w:t>
      </w:r>
      <w:r>
        <w:rPr>
          <w:rFonts w:hint="default" w:ascii="Times New Roman" w:hAnsi="Times New Roman" w:eastAsia="仿宋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合</w:t>
      </w:r>
      <w:r>
        <w:rPr>
          <w:rFonts w:hint="default" w:ascii="Times New Roman" w:hAnsi="Times New Roman" w:eastAsia="仿宋" w:cs="Times New Roman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股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、经济运行调节股、固定资产投资股、社会服务股、资源节</w:t>
      </w:r>
      <w:r>
        <w:rPr>
          <w:rFonts w:hint="default" w:ascii="Times New Roman" w:hAnsi="Times New Roman" w:eastAsia="仿宋" w:cs="Times New Roman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和环境保护股、价格管理股、粮食和物资储备管理股的预算。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223" w:lineRule="auto"/>
        <w:ind w:left="3612"/>
        <w:jc w:val="both"/>
        <w:rPr>
          <w:rFonts w:hint="default" w:ascii="Times New Roman" w:hAnsi="Times New Roman" w:eastAsia="黑体" w:cs="Times New Roman"/>
          <w:color w:val="000000" w:themeColor="text1"/>
          <w:spacing w:val="4"/>
          <w:sz w:val="35"/>
          <w:szCs w:val="35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13" w:line="360" w:lineRule="auto"/>
        <w:ind w:left="3612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  <w:t>第二部分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2022年伊川县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发展和改革委员会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单位预算情况说明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一、收入支出预算总体情况说明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伊川县发展和改革委员会2022年收入总计1293.51万元，支出总计1293.51万元，与2021年预算相比，收入增加665.26万元，增长105.8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%。主要原因：项目收入增加;支出增加665.26万元，增长105.8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%。主要原因：项目支出增加。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二、收入预算总体情况说明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伊川县发展和改革委员会2022年收入合计1293.51万元，其中：一般公共预算1247.65万元;财政拨款结转结余45.86万元。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三、支出预算总体情况说明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伊川县发展和改革委员会2022年支出合计1293.51万元，其中：基本支出501.65万元，占38.78%；项目支出791.86万元，占61.22%。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四、财政拨款收入支出预算总体情况说明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伊川县发展和改革委员会2022年一般公共预算收支预算1293.51万元。政府性基金收支预算0万元。与2021年相比，一般公共预算收支预算增加665.26万元，增长105.8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%，主要原因：项目收支增加，政府性基金收支预算增加0万元，增长0%。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五、一般公共预算支出预算情况说明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伊川县发展和改革委员会2022年一般公共预算支出年初预算为1293.51万元。其中：基本支出501.65万元，占38.78%；项目支出791.86万元，占61.22%。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六、一般公共预算基本支出预算情况说明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伊川县发展和改革委员会2022年一般公共预算基本支出年初预算为501.65万元。其中：人员经费支出379.37万元，占75.63%；公用经费支出122.28万元，占24.37%。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伊川县发展和改革委员会2022年“三公”经费支出预算为0万元。2022年“三公”经费支出预算数比2021年增加0万元。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具体支出情况如下：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（一）因公出国（境）费0万元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，主要用于单位工作人员公务出国（境）的住宿费、旅费、伙食补助费、杂费、培训费等支出。预算数与2021年保持一致。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（二）公务接待费0万元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，主要用于按规定开支的各类公务接待（含外宾接待）支出。预算数比2021年增加0万元。主要原因：预算数与2021年保持一致。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（三）公务用车购置及运行费0万元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，其中：公务用车购置费0万元；公务用车运行维护费0万元，主要用于开展工作所需公务用车的燃料费、维修费、过路过桥费、保险费、安全奖励费用等支出。公务用车购置费预算数比2021年增加0万元，主要原因：预算数与2021年保持一致。公务用车运行维护费预算数比2021年增加0万元，主要原因：预算数与2021年保持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八、政府性基金支出预算情况说明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伊川县发展和改革委员会2022年无政府性基金预算拨款安排的支出，故此表无数据。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九、国有资本经营预算支出预算情况说明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伊川县发展和改革委员会2022年无国有资本经营预算支出。故此表无数据。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十、其他重要事项情况说明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（一）行政（事业）单位机构运行经费支出预算情况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机构运行经费支出预算122.28万元，主要保障机构正常运转及正常履职需要所需支出，包含公用经费、公务交通补贴、工会经费、职工福利费等。与2021年机构运行经费支出预算相比增加。主要原因：公用经费支出增加，人员变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（二）政府采购支出预算情况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2022年政府采购预算安排0万元，其中：政府采购货物预算0万元、政府采购工程预算0万元、政府采购服务预算0万元。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（三）绩效目标设置情况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（四）国有资产占用情况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2021年期末，伊川县发展和改革委员会共有车辆0辆，其中：一般公务用车0辆、一般执法执勤用车0辆、特种专业技术用车0辆，其他用车0辆，其他用车主要是0车0辆；单位价值50万元以上通用设备0套，单位价值100万元以上专用设备0套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（五）专项转移支付项目情况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伊川县发展和改革委员会负责管理的专项转移支付项目共有1项，主要是：2020年中央农村清洁取暖运营补贴项目资金363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.00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万元；按照《预算法》等有关规定，我单位将积极做好项目分配前期准备工作，在规定的时间内向财政部门提出资金分配意见，根据有关要求做好项目申报公开等相关工作。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  <w:t>第三部分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bidi w:val="0"/>
        <w:adjustRightInd w:val="0"/>
        <w:snapToGrid w:val="0"/>
        <w:spacing w:before="101" w:line="361" w:lineRule="auto"/>
        <w:ind w:firstLine="2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  <w:t>名词解释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70" w:lineRule="exact"/>
        <w:ind w:firstLine="659" w:firstLineChars="200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000000" w:themeColor="text1"/>
          <w:spacing w:val="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附件：2022年伊川县发展和改革委员会单位预算表</w:t>
      </w:r>
    </w:p>
    <w:sectPr>
      <w:footerReference r:id="rId3" w:type="default"/>
      <w:pgSz w:w="11905" w:h="16837"/>
      <w:pgMar w:top="1984" w:right="1474" w:bottom="1701" w:left="1587" w:header="0" w:footer="1417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U2NDY2MjE3YTYxYTg5NjI5ZGU4N2Y0YmZjOGFiNjYifQ=="/>
  </w:docVars>
  <w:rsids>
    <w:rsidRoot w:val="00000000"/>
    <w:rsid w:val="04D37589"/>
    <w:rsid w:val="08E009D8"/>
    <w:rsid w:val="09203C67"/>
    <w:rsid w:val="0E5F48D8"/>
    <w:rsid w:val="117D07E1"/>
    <w:rsid w:val="13522434"/>
    <w:rsid w:val="135C0AB1"/>
    <w:rsid w:val="16580FA9"/>
    <w:rsid w:val="19711F13"/>
    <w:rsid w:val="19856935"/>
    <w:rsid w:val="1AB351AF"/>
    <w:rsid w:val="222A79CE"/>
    <w:rsid w:val="26524C7B"/>
    <w:rsid w:val="27A8746F"/>
    <w:rsid w:val="34641758"/>
    <w:rsid w:val="39B40E16"/>
    <w:rsid w:val="39F15267"/>
    <w:rsid w:val="3CA0269E"/>
    <w:rsid w:val="3D5C48F9"/>
    <w:rsid w:val="3E8E24F6"/>
    <w:rsid w:val="40210AA8"/>
    <w:rsid w:val="403216EE"/>
    <w:rsid w:val="408A2A02"/>
    <w:rsid w:val="49042E9B"/>
    <w:rsid w:val="49DD4007"/>
    <w:rsid w:val="4BD81854"/>
    <w:rsid w:val="548F4B40"/>
    <w:rsid w:val="54A53016"/>
    <w:rsid w:val="56930250"/>
    <w:rsid w:val="5A896541"/>
    <w:rsid w:val="5C4743CD"/>
    <w:rsid w:val="5D0A450C"/>
    <w:rsid w:val="64C82921"/>
    <w:rsid w:val="665E3D39"/>
    <w:rsid w:val="6A8A005B"/>
    <w:rsid w:val="6B7951CC"/>
    <w:rsid w:val="70E84314"/>
    <w:rsid w:val="719A3C4F"/>
    <w:rsid w:val="79D71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3053</Words>
  <Characters>3306</Characters>
  <TotalTime>5</TotalTime>
  <ScaleCrop>false</ScaleCrop>
  <LinksUpToDate>false</LinksUpToDate>
  <CharactersWithSpaces>3312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2023-05-06T03:29:00Z</dcterms:created>
  <dc:creator>Administrator</dc:creator>
  <cp:lastModifiedBy>Administrator</cp:lastModifiedBy>
  <dcterms:modified xsi:type="dcterms:W3CDTF">2023-07-13T01:31:14Z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2023-05-06T11:19:47Z</vt:filetime>
  </property>
  <property fmtid="{D5CDD505-2E9C-101B-9397-08002B2CF9AE}" pid="4" name="KSOProductBuildVer">
    <vt:lpwstr>2052-10.1.0.7698</vt:lpwstr>
  </property>
  <property fmtid="{D5CDD505-2E9C-101B-9397-08002B2CF9AE}" pid="5" name="ICV">
    <vt:lpwstr>359795AC72B44B3E8F5BD7C6E8EFDE5E_12</vt:lpwstr>
  </property>
</Properties>
</file>