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overflowPunct w:val="0"/>
        <w:autoSpaceDE/>
        <w:autoSpaceDN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snapToGrid/>
          <w:kern w:val="2"/>
          <w:sz w:val="44"/>
          <w:szCs w:val="44"/>
        </w:rPr>
      </w:pPr>
      <w:r>
        <w:rPr>
          <w:rFonts w:ascii="Times New Roman" w:hAnsi="Times New Roman" w:eastAsia="方正小标宋简体" w:cs="Times New Roman"/>
          <w:snapToGrid/>
          <w:color w:val="auto"/>
          <w:kern w:val="2"/>
          <w:sz w:val="44"/>
          <w:szCs w:val="44"/>
        </w:rPr>
        <w:t>2</w:t>
      </w:r>
      <w:r>
        <w:rPr>
          <w:rFonts w:ascii="Times New Roman" w:hAnsi="Times New Roman" w:eastAsia="方正小标宋简体" w:cs="Times New Roman"/>
          <w:snapToGrid/>
          <w:kern w:val="2"/>
          <w:sz w:val="44"/>
          <w:szCs w:val="44"/>
        </w:rPr>
        <w:t>022 年伊川县学生资助管理中心预算说明</w:t>
      </w:r>
    </w:p>
    <w:p>
      <w:pPr>
        <w:widowControl w:val="0"/>
        <w:kinsoku/>
        <w:overflowPunct w:val="0"/>
        <w:autoSpaceDE/>
        <w:autoSpaceDN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snapToGrid/>
          <w:kern w:val="2"/>
          <w:sz w:val="44"/>
          <w:szCs w:val="44"/>
        </w:rPr>
      </w:pPr>
      <w:r>
        <w:rPr>
          <w:rFonts w:ascii="Times New Roman" w:hAnsi="Times New Roman" w:eastAsia="方正小标宋简体" w:cs="Times New Roman"/>
          <w:snapToGrid/>
          <w:kern w:val="2"/>
          <w:sz w:val="44"/>
          <w:szCs w:val="44"/>
        </w:rPr>
        <w:t>目 录</w:t>
      </w:r>
    </w:p>
    <w:p>
      <w:pPr>
        <w:widowControl w:val="0"/>
        <w:overflowPunct w:val="0"/>
        <w:autoSpaceDE/>
        <w:autoSpaceDN/>
        <w:spacing w:line="600" w:lineRule="exact"/>
        <w:ind w:right="136"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</w:rPr>
        <w:t>第一部分 伊川县学生资助管理中心概况</w:t>
      </w:r>
    </w:p>
    <w:p>
      <w:pPr>
        <w:spacing w:before="222" w:line="523" w:lineRule="exact"/>
        <w:ind w:left="10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position w:val="3"/>
          <w:sz w:val="32"/>
          <w:szCs w:val="32"/>
        </w:rPr>
        <w:t>一</w:t>
      </w:r>
      <w:r>
        <w:rPr>
          <w:rFonts w:ascii="仿宋" w:hAnsi="仿宋" w:eastAsia="仿宋" w:cs="仿宋"/>
          <w:spacing w:val="5"/>
          <w:position w:val="3"/>
          <w:sz w:val="32"/>
          <w:szCs w:val="32"/>
        </w:rPr>
        <w:t>、主要职责</w:t>
      </w:r>
    </w:p>
    <w:p>
      <w:pPr>
        <w:spacing w:before="77" w:line="437" w:lineRule="exact"/>
        <w:ind w:left="100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position w:val="2"/>
          <w:sz w:val="32"/>
          <w:szCs w:val="32"/>
        </w:rPr>
        <w:t>二</w:t>
      </w:r>
      <w:r>
        <w:rPr>
          <w:rFonts w:ascii="仿宋" w:hAnsi="仿宋" w:eastAsia="仿宋" w:cs="仿宋"/>
          <w:spacing w:val="8"/>
          <w:position w:val="2"/>
          <w:sz w:val="32"/>
          <w:szCs w:val="32"/>
        </w:rPr>
        <w:t>、</w:t>
      </w:r>
      <w:r>
        <w:rPr>
          <w:rFonts w:ascii="仿宋" w:hAnsi="仿宋" w:eastAsia="仿宋" w:cs="仿宋"/>
          <w:spacing w:val="7"/>
          <w:position w:val="2"/>
          <w:sz w:val="32"/>
          <w:szCs w:val="32"/>
        </w:rPr>
        <w:t>单位所属预算单位构成情况</w:t>
      </w:r>
    </w:p>
    <w:p>
      <w:pPr>
        <w:widowControl w:val="0"/>
        <w:overflowPunct w:val="0"/>
        <w:autoSpaceDE/>
        <w:autoSpaceDN/>
        <w:spacing w:line="600" w:lineRule="exact"/>
        <w:ind w:right="136"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</w:rPr>
        <w:t>第二部分 2022 年伊川县学生资助管理中心预算 情况说明</w:t>
      </w:r>
    </w:p>
    <w:p>
      <w:pPr>
        <w:widowControl w:val="0"/>
        <w:overflowPunct w:val="0"/>
        <w:autoSpaceDE/>
        <w:autoSpaceDN/>
        <w:spacing w:line="600" w:lineRule="exact"/>
        <w:ind w:right="136"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</w:rPr>
        <w:t>第三部分 名词解释</w:t>
      </w:r>
    </w:p>
    <w:p>
      <w:pPr>
        <w:spacing w:before="222" w:line="523" w:lineRule="exact"/>
        <w:ind w:left="1000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</w:rPr>
        <w:t>附件：2022 年伊川县学生资助管理中心预算表</w:t>
      </w:r>
      <w:r>
        <w:rPr>
          <w:rFonts w:ascii="宋体" w:hAnsi="宋体" w:eastAsia="宋体" w:cs="宋体"/>
          <w:sz w:val="31"/>
          <w:szCs w:val="31"/>
        </w:rPr>
        <w:t xml:space="preserve"> </w:t>
      </w:r>
    </w:p>
    <w:p>
      <w:pPr>
        <w:widowControl w:val="0"/>
        <w:kinsoku w:val="0"/>
        <w:overflowPunct w:val="0"/>
        <w:autoSpaceDE/>
        <w:autoSpaceDN/>
        <w:adjustRightInd w:val="0"/>
        <w:snapToGrid w:val="0"/>
        <w:spacing w:line="600" w:lineRule="exact"/>
        <w:ind w:right="51" w:firstLine="960" w:firstLineChars="300"/>
        <w:jc w:val="left"/>
        <w:textAlignment w:val="auto"/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  <w:t>一、单位收支预算表</w:t>
      </w:r>
    </w:p>
    <w:p>
      <w:pPr>
        <w:widowControl w:val="0"/>
        <w:kinsoku w:val="0"/>
        <w:overflowPunct w:val="0"/>
        <w:autoSpaceDE/>
        <w:autoSpaceDN/>
        <w:adjustRightInd w:val="0"/>
        <w:snapToGrid w:val="0"/>
        <w:spacing w:line="600" w:lineRule="exact"/>
        <w:ind w:right="51" w:firstLine="960" w:firstLineChars="300"/>
        <w:jc w:val="left"/>
        <w:textAlignment w:val="auto"/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  <w:t>二、单位收入预算表</w:t>
      </w:r>
    </w:p>
    <w:p>
      <w:pPr>
        <w:widowControl w:val="0"/>
        <w:kinsoku w:val="0"/>
        <w:overflowPunct w:val="0"/>
        <w:autoSpaceDE/>
        <w:autoSpaceDN/>
        <w:adjustRightInd w:val="0"/>
        <w:snapToGrid w:val="0"/>
        <w:spacing w:line="600" w:lineRule="exact"/>
        <w:ind w:right="51" w:firstLine="960" w:firstLineChars="300"/>
        <w:jc w:val="left"/>
        <w:textAlignment w:val="auto"/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  <w:t>三、单位支出预算表</w:t>
      </w:r>
    </w:p>
    <w:p>
      <w:pPr>
        <w:widowControl w:val="0"/>
        <w:kinsoku w:val="0"/>
        <w:overflowPunct w:val="0"/>
        <w:autoSpaceDE/>
        <w:autoSpaceDN/>
        <w:adjustRightInd w:val="0"/>
        <w:snapToGrid w:val="0"/>
        <w:spacing w:line="600" w:lineRule="exact"/>
        <w:ind w:right="51" w:firstLine="960" w:firstLineChars="300"/>
        <w:jc w:val="left"/>
        <w:textAlignment w:val="auto"/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  <w:t>四、财政拨款收支预算表</w:t>
      </w:r>
    </w:p>
    <w:p>
      <w:pPr>
        <w:widowControl w:val="0"/>
        <w:kinsoku w:val="0"/>
        <w:overflowPunct w:val="0"/>
        <w:autoSpaceDE/>
        <w:autoSpaceDN/>
        <w:adjustRightInd w:val="0"/>
        <w:snapToGrid w:val="0"/>
        <w:spacing w:line="600" w:lineRule="exact"/>
        <w:ind w:right="51" w:firstLine="960" w:firstLineChars="300"/>
        <w:jc w:val="left"/>
        <w:textAlignment w:val="auto"/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  <w:t>五、一般公共预算支出预算表</w:t>
      </w:r>
    </w:p>
    <w:p>
      <w:pPr>
        <w:widowControl w:val="0"/>
        <w:kinsoku w:val="0"/>
        <w:overflowPunct w:val="0"/>
        <w:autoSpaceDE/>
        <w:autoSpaceDN/>
        <w:adjustRightInd w:val="0"/>
        <w:snapToGrid w:val="0"/>
        <w:spacing w:line="600" w:lineRule="exact"/>
        <w:ind w:right="51" w:firstLine="960" w:firstLineChars="300"/>
        <w:jc w:val="left"/>
        <w:textAlignment w:val="auto"/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  <w:t>六、一般公共预算基本支出预算表</w:t>
      </w:r>
    </w:p>
    <w:p>
      <w:pPr>
        <w:widowControl w:val="0"/>
        <w:kinsoku w:val="0"/>
        <w:overflowPunct w:val="0"/>
        <w:autoSpaceDE/>
        <w:autoSpaceDN/>
        <w:adjustRightInd w:val="0"/>
        <w:snapToGrid w:val="0"/>
        <w:spacing w:line="600" w:lineRule="exact"/>
        <w:ind w:right="51" w:firstLine="960" w:firstLineChars="300"/>
        <w:jc w:val="left"/>
        <w:textAlignment w:val="auto"/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  <w:t>七、支出经济分类汇总表</w:t>
      </w:r>
    </w:p>
    <w:p>
      <w:pPr>
        <w:widowControl w:val="0"/>
        <w:kinsoku w:val="0"/>
        <w:overflowPunct w:val="0"/>
        <w:autoSpaceDE/>
        <w:autoSpaceDN/>
        <w:adjustRightInd w:val="0"/>
        <w:snapToGrid w:val="0"/>
        <w:spacing w:line="600" w:lineRule="exact"/>
        <w:ind w:right="51" w:firstLine="960" w:firstLineChars="300"/>
        <w:jc w:val="left"/>
        <w:textAlignment w:val="auto"/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  <w:t>八、一般公共预算“三公”经费预算表</w:t>
      </w:r>
    </w:p>
    <w:p>
      <w:pPr>
        <w:widowControl w:val="0"/>
        <w:kinsoku w:val="0"/>
        <w:overflowPunct w:val="0"/>
        <w:autoSpaceDE/>
        <w:autoSpaceDN/>
        <w:adjustRightInd w:val="0"/>
        <w:snapToGrid w:val="0"/>
        <w:spacing w:line="600" w:lineRule="exact"/>
        <w:ind w:right="51" w:firstLine="960" w:firstLineChars="300"/>
        <w:jc w:val="left"/>
        <w:textAlignment w:val="auto"/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  <w:t>九、政府性基金预算支出预算表</w:t>
      </w:r>
    </w:p>
    <w:p>
      <w:pPr>
        <w:widowControl w:val="0"/>
        <w:kinsoku w:val="0"/>
        <w:overflowPunct w:val="0"/>
        <w:autoSpaceDE/>
        <w:autoSpaceDN/>
        <w:adjustRightInd w:val="0"/>
        <w:snapToGrid w:val="0"/>
        <w:spacing w:line="600" w:lineRule="exact"/>
        <w:ind w:right="51" w:firstLine="960" w:firstLineChars="300"/>
        <w:jc w:val="left"/>
        <w:textAlignment w:val="auto"/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  <w:t xml:space="preserve">十、 国有资本经营预算支出预算表 </w:t>
      </w:r>
    </w:p>
    <w:p>
      <w:pPr>
        <w:widowControl w:val="0"/>
        <w:kinsoku w:val="0"/>
        <w:overflowPunct w:val="0"/>
        <w:autoSpaceDE/>
        <w:autoSpaceDN/>
        <w:adjustRightInd w:val="0"/>
        <w:snapToGrid w:val="0"/>
        <w:spacing w:line="600" w:lineRule="exact"/>
        <w:ind w:right="51" w:firstLine="960" w:firstLineChars="300"/>
        <w:jc w:val="left"/>
        <w:textAlignment w:val="auto"/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  <w:t>十一、项目支出预算表</w:t>
      </w:r>
    </w:p>
    <w:p>
      <w:pPr>
        <w:widowControl w:val="0"/>
        <w:kinsoku w:val="0"/>
        <w:overflowPunct w:val="0"/>
        <w:autoSpaceDE/>
        <w:autoSpaceDN/>
        <w:adjustRightInd w:val="0"/>
        <w:snapToGrid w:val="0"/>
        <w:spacing w:line="600" w:lineRule="exact"/>
        <w:ind w:right="51" w:firstLine="960" w:firstLineChars="300"/>
        <w:jc w:val="left"/>
        <w:textAlignment w:val="auto"/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  <w:t>十二、单位预算项目绩效目标表</w:t>
      </w:r>
    </w:p>
    <w:p>
      <w:pPr>
        <w:widowControl w:val="0"/>
        <w:kinsoku w:val="0"/>
        <w:overflowPunct w:val="0"/>
        <w:autoSpaceDE/>
        <w:autoSpaceDN/>
        <w:adjustRightInd w:val="0"/>
        <w:snapToGrid w:val="0"/>
        <w:spacing w:line="600" w:lineRule="exact"/>
        <w:ind w:right="51" w:firstLine="960" w:firstLineChars="300"/>
        <w:jc w:val="left"/>
        <w:textAlignment w:val="auto"/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  <w:sectPr>
          <w:footerReference r:id="rId3" w:type="default"/>
          <w:pgSz w:w="11906" w:h="16839"/>
          <w:pgMar w:top="1984" w:right="1531" w:bottom="1417" w:left="1531" w:header="0" w:footer="567" w:gutter="0"/>
          <w:pgNumType w:fmt="numberInDash"/>
          <w:cols w:space="720" w:num="1"/>
        </w:sectPr>
      </w:pPr>
    </w:p>
    <w:p>
      <w:pPr>
        <w:widowControl w:val="0"/>
        <w:kinsoku/>
        <w:overflowPunct w:val="0"/>
        <w:autoSpaceDE/>
        <w:autoSpaceDN/>
        <w:spacing w:line="60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6"/>
          <w:szCs w:val="36"/>
        </w:rPr>
      </w:pPr>
      <w:r>
        <w:rPr>
          <w:rFonts w:ascii="Times New Roman" w:hAnsi="Times New Roman" w:eastAsia="黑体" w:cs="Times New Roman"/>
          <w:snapToGrid/>
          <w:color w:val="auto"/>
          <w:kern w:val="2"/>
          <w:sz w:val="36"/>
          <w:szCs w:val="36"/>
        </w:rPr>
        <w:t>第一部分</w:t>
      </w:r>
    </w:p>
    <w:p>
      <w:pPr>
        <w:spacing w:before="208" w:line="225" w:lineRule="auto"/>
        <w:ind w:left="192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4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伊</w:t>
      </w:r>
      <w:r>
        <w:rPr>
          <w:rFonts w:ascii="宋体" w:hAnsi="宋体" w:eastAsia="宋体" w:cs="宋体"/>
          <w:spacing w:val="10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川县学生资助管理中心概况</w:t>
      </w:r>
    </w:p>
    <w:p>
      <w:pPr>
        <w:spacing w:line="357" w:lineRule="auto"/>
        <w:rPr>
          <w:sz w:val="32"/>
          <w:szCs w:val="32"/>
        </w:rPr>
      </w:pPr>
    </w:p>
    <w:p>
      <w:pPr>
        <w:spacing w:line="358" w:lineRule="auto"/>
      </w:pPr>
    </w:p>
    <w:p>
      <w:pPr>
        <w:widowControl w:val="0"/>
        <w:overflowPunct w:val="0"/>
        <w:autoSpaceDE/>
        <w:autoSpaceDN/>
        <w:spacing w:line="600" w:lineRule="exact"/>
        <w:ind w:right="136"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</w:rPr>
        <w:t>一、 伊川县学生资助管理中心主要职责</w:t>
      </w:r>
    </w:p>
    <w:p>
      <w:pPr>
        <w:spacing w:before="174" w:line="376" w:lineRule="auto"/>
        <w:ind w:left="34" w:firstLine="640"/>
        <w:rPr>
          <w:rFonts w:ascii="仿宋" w:hAnsi="仿宋" w:cs="仿宋"/>
          <w:spacing w:val="6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为全县幼儿、中小高中学生、中职学生资助工作。</w:t>
      </w:r>
    </w:p>
    <w:p>
      <w:pPr>
        <w:widowControl w:val="0"/>
        <w:overflowPunct w:val="0"/>
        <w:autoSpaceDE/>
        <w:autoSpaceDN/>
        <w:spacing w:line="600" w:lineRule="exact"/>
        <w:ind w:right="136"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</w:rPr>
        <w:t>二、伊川县学生资助管理中心预算单位构成情况</w:t>
      </w:r>
    </w:p>
    <w:p>
      <w:pPr>
        <w:spacing w:before="174" w:line="376" w:lineRule="auto"/>
        <w:ind w:left="34" w:firstLine="640"/>
        <w:rPr>
          <w:rFonts w:hint="eastAsia" w:ascii="仿宋" w:hAnsi="仿宋" w:eastAsia="仿宋" w:cs="仿宋"/>
          <w:spacing w:val="6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本预算为伊川县学生资助管理中心预算，包括：办公 室、财务室的预算。</w:t>
      </w:r>
    </w:p>
    <w:p>
      <w:pPr>
        <w:sectPr>
          <w:pgSz w:w="11906" w:h="16839"/>
          <w:pgMar w:top="1431" w:right="1538" w:bottom="1417" w:left="1785" w:header="0" w:footer="567" w:gutter="0"/>
          <w:pgNumType w:fmt="numberInDash"/>
          <w:cols w:space="720" w:num="1"/>
        </w:sectPr>
      </w:pPr>
      <w:bookmarkStart w:id="0" w:name="_GoBack"/>
      <w:bookmarkEnd w:id="0"/>
    </w:p>
    <w:p>
      <w:pPr>
        <w:widowControl w:val="0"/>
        <w:kinsoku/>
        <w:overflowPunct w:val="0"/>
        <w:autoSpaceDE/>
        <w:autoSpaceDN/>
        <w:spacing w:line="60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6"/>
          <w:szCs w:val="36"/>
        </w:rPr>
      </w:pPr>
      <w:r>
        <w:rPr>
          <w:rFonts w:ascii="Times New Roman" w:hAnsi="Times New Roman" w:eastAsia="黑体" w:cs="Times New Roman"/>
          <w:snapToGrid/>
          <w:color w:val="auto"/>
          <w:kern w:val="2"/>
          <w:sz w:val="36"/>
          <w:szCs w:val="36"/>
        </w:rPr>
        <w:t>第二部分</w:t>
      </w:r>
    </w:p>
    <w:p>
      <w:pPr>
        <w:spacing w:before="208" w:line="225" w:lineRule="auto"/>
        <w:ind w:left="9" w:leftChars="0" w:hanging="9" w:firstLineChars="0"/>
        <w:jc w:val="center"/>
        <w:rPr>
          <w:rFonts w:hint="eastAsia" w:ascii="宋体" w:hAnsi="宋体" w:eastAsia="宋体" w:cs="宋体"/>
          <w:spacing w:val="14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14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2022年伊川县学生资助管理中心预算情况说明</w:t>
      </w:r>
    </w:p>
    <w:p>
      <w:pPr>
        <w:spacing w:line="358" w:lineRule="auto"/>
      </w:pPr>
    </w:p>
    <w:p>
      <w:pPr>
        <w:spacing w:line="358" w:lineRule="auto"/>
      </w:pPr>
    </w:p>
    <w:p>
      <w:pPr>
        <w:widowControl w:val="0"/>
        <w:overflowPunct w:val="0"/>
        <w:autoSpaceDE/>
        <w:autoSpaceDN/>
        <w:spacing w:line="600" w:lineRule="exact"/>
        <w:ind w:right="136"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</w:rPr>
        <w:t>一、收入支出预算总体情况说明</w:t>
      </w:r>
    </w:p>
    <w:p>
      <w:pPr>
        <w:spacing w:before="174" w:line="376" w:lineRule="auto"/>
        <w:ind w:left="34" w:firstLine="640"/>
        <w:rPr>
          <w:rFonts w:hint="eastAsia" w:ascii="仿宋" w:hAnsi="仿宋" w:eastAsia="仿宋" w:cs="仿宋"/>
          <w:color w:val="auto"/>
          <w:spacing w:val="6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6"/>
          <w:sz w:val="32"/>
          <w:szCs w:val="32"/>
        </w:rPr>
        <w:t>伊川县学生资助管理中心</w:t>
      </w:r>
      <w:r>
        <w:rPr>
          <w:rFonts w:ascii="Times New Roman" w:hAnsi="Times New Roman" w:eastAsia="仿宋_GB2312"/>
          <w:color w:val="auto"/>
          <w:sz w:val="32"/>
          <w:szCs w:val="32"/>
        </w:rPr>
        <w:t>2022年收入总计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3449.25</w:t>
      </w:r>
      <w:r>
        <w:rPr>
          <w:rFonts w:ascii="Times New Roman" w:hAnsi="Times New Roman" w:eastAsia="仿宋_GB2312"/>
          <w:color w:val="auto"/>
          <w:sz w:val="32"/>
          <w:szCs w:val="32"/>
        </w:rPr>
        <w:t>万元，支出总计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3449.25</w:t>
      </w:r>
      <w:r>
        <w:rPr>
          <w:rFonts w:ascii="Times New Roman" w:hAnsi="Times New Roman" w:eastAsia="仿宋_GB2312"/>
          <w:color w:val="auto"/>
          <w:sz w:val="32"/>
          <w:szCs w:val="32"/>
        </w:rPr>
        <w:t>万元，与2021年预算相比，收入增加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color w:val="auto"/>
          <w:sz w:val="32"/>
          <w:szCs w:val="32"/>
        </w:rPr>
        <w:t>万元，增长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0.20</w:t>
      </w:r>
      <w:r>
        <w:rPr>
          <w:rFonts w:ascii="Times New Roman" w:hAnsi="Times New Roman" w:eastAsia="仿宋_GB2312"/>
          <w:color w:val="auto"/>
          <w:sz w:val="32"/>
          <w:szCs w:val="32"/>
        </w:rPr>
        <w:t>%。主要原因：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2021年只预算工资，没有预算经费，项目类；</w:t>
      </w:r>
      <w:r>
        <w:rPr>
          <w:rFonts w:ascii="Times New Roman" w:hAnsi="Times New Roman" w:eastAsia="仿宋_GB2312"/>
          <w:color w:val="auto"/>
          <w:sz w:val="32"/>
          <w:szCs w:val="32"/>
        </w:rPr>
        <w:t>支出增加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color w:val="auto"/>
          <w:sz w:val="32"/>
          <w:szCs w:val="32"/>
        </w:rPr>
        <w:t>万元，增长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0.20</w:t>
      </w:r>
      <w:r>
        <w:rPr>
          <w:rFonts w:ascii="Times New Roman" w:hAnsi="Times New Roman" w:eastAsia="仿宋_GB2312"/>
          <w:color w:val="auto"/>
          <w:sz w:val="32"/>
          <w:szCs w:val="32"/>
        </w:rPr>
        <w:t>%。主要原因：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2021年只计算工资支出，没有计算经费及项目支出</w:t>
      </w:r>
      <w:r>
        <w:rPr>
          <w:rFonts w:ascii="Times New Roman" w:hAnsi="Times New Roman" w:eastAsia="仿宋_GB2312"/>
          <w:color w:val="auto"/>
          <w:sz w:val="32"/>
          <w:szCs w:val="32"/>
        </w:rPr>
        <w:t>。</w:t>
      </w:r>
    </w:p>
    <w:p>
      <w:pPr>
        <w:widowControl w:val="0"/>
        <w:overflowPunct w:val="0"/>
        <w:autoSpaceDE/>
        <w:autoSpaceDN/>
        <w:spacing w:line="600" w:lineRule="exact"/>
        <w:ind w:right="136"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</w:rPr>
        <w:t>二、收入预算总体情况说明</w:t>
      </w:r>
    </w:p>
    <w:p>
      <w:pPr>
        <w:spacing w:before="174" w:line="376" w:lineRule="auto"/>
        <w:ind w:left="34" w:firstLine="640"/>
        <w:rPr>
          <w:rFonts w:hint="eastAsia" w:ascii="仿宋" w:hAnsi="仿宋" w:eastAsia="仿宋" w:cs="仿宋"/>
          <w:color w:val="auto"/>
          <w:spacing w:val="6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6"/>
          <w:sz w:val="32"/>
          <w:szCs w:val="32"/>
        </w:rPr>
        <w:t>伊川县学生资助管理中心2022年度收入合计3449.25万元，其中：一般公共预算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  <w:lang w:val="en-US" w:eastAsia="zh-CN"/>
        </w:rPr>
        <w:t>3009.47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</w:rPr>
        <w:t>万元，财政性结转资金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  <w:lang w:val="en-US" w:eastAsia="zh-CN"/>
        </w:rPr>
        <w:t>439.78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</w:rPr>
        <w:t>万元。</w:t>
      </w:r>
    </w:p>
    <w:p>
      <w:pPr>
        <w:widowControl w:val="0"/>
        <w:overflowPunct w:val="0"/>
        <w:autoSpaceDE/>
        <w:autoSpaceDN/>
        <w:spacing w:line="600" w:lineRule="exact"/>
        <w:ind w:right="136"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</w:rPr>
        <w:t>三、支出预算总体情况说明</w:t>
      </w:r>
    </w:p>
    <w:p>
      <w:pPr>
        <w:spacing w:before="174" w:line="376" w:lineRule="auto"/>
        <w:ind w:left="34" w:firstLine="640"/>
        <w:rPr>
          <w:rFonts w:hint="eastAsia" w:ascii="仿宋" w:hAnsi="仿宋" w:eastAsia="仿宋" w:cs="仿宋"/>
          <w:color w:val="auto"/>
          <w:spacing w:val="6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6"/>
          <w:sz w:val="32"/>
          <w:szCs w:val="32"/>
        </w:rPr>
        <w:t>伊川县学生资助管理中心2022年支出合计3449.25万元，其中：基本支出1105.45万元，占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  <w:lang w:val="en-US" w:eastAsia="zh-CN"/>
        </w:rPr>
        <w:t>32.05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</w:rPr>
        <w:t>%；项目支出2343.8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</w:rPr>
        <w:t>占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  <w:lang w:val="en-US" w:eastAsia="zh-CN"/>
        </w:rPr>
        <w:t>67.95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</w:rPr>
        <w:t>%。</w:t>
      </w:r>
    </w:p>
    <w:p>
      <w:pPr>
        <w:widowControl w:val="0"/>
        <w:overflowPunct w:val="0"/>
        <w:autoSpaceDE/>
        <w:autoSpaceDN/>
        <w:spacing w:line="600" w:lineRule="exact"/>
        <w:ind w:right="136"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</w:rPr>
        <w:t>四、财政拨款收入支出预算总体情况说明</w:t>
      </w:r>
    </w:p>
    <w:p>
      <w:pPr>
        <w:widowControl w:val="0"/>
        <w:kinsoku/>
        <w:overflowPunct w:val="0"/>
        <w:autoSpaceDE/>
        <w:autoSpaceDN/>
        <w:adjustRightInd/>
        <w:snapToGrid/>
        <w:spacing w:line="600" w:lineRule="exact"/>
        <w:ind w:firstLine="664" w:firstLineChars="200"/>
        <w:jc w:val="both"/>
        <w:textAlignment w:val="auto"/>
        <w:rPr>
          <w:rFonts w:ascii="Times New Roman" w:hAnsi="Times New Roman" w:eastAsia="仿宋_GB2312" w:cs="Times New Roman"/>
          <w:snapToGrid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6"/>
          <w:sz w:val="32"/>
          <w:szCs w:val="32"/>
        </w:rPr>
        <w:t>伊川县学生资助管理中心2022年一般公共预算收支预算3449.25，政府性基金收支预算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</w:rPr>
        <w:t>万元。与2020 年相比，一般公共预算收支预算增加7万元，增长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  <w:lang w:val="en-US" w:eastAsia="zh-CN"/>
        </w:rPr>
        <w:t>0.20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</w:rPr>
        <w:t>%，主要原因：人员工资增加支出增加，教师培训增加培训费用增加。</w:t>
      </w:r>
    </w:p>
    <w:p>
      <w:pPr>
        <w:widowControl w:val="0"/>
        <w:overflowPunct w:val="0"/>
        <w:autoSpaceDE/>
        <w:autoSpaceDN/>
        <w:spacing w:line="600" w:lineRule="exact"/>
        <w:ind w:right="136"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</w:rPr>
        <w:t>五、一般公共预算支出预算情况说明</w:t>
      </w:r>
    </w:p>
    <w:p>
      <w:pPr>
        <w:widowControl w:val="0"/>
        <w:kinsoku/>
        <w:overflowPunct w:val="0"/>
        <w:autoSpaceDE/>
        <w:autoSpaceDN/>
        <w:adjustRightInd/>
        <w:snapToGrid/>
        <w:spacing w:line="600" w:lineRule="exact"/>
        <w:ind w:firstLine="664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6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6"/>
          <w:sz w:val="32"/>
          <w:szCs w:val="32"/>
        </w:rPr>
        <w:t>伊川县学生资助管理中心2022年支出合计3449.25万元，其中：基本支出1105.45万元，占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  <w:lang w:val="en-US" w:eastAsia="zh-CN"/>
        </w:rPr>
        <w:t>32.05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</w:rPr>
        <w:t>%；项目支出2343.8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</w:rPr>
        <w:t>万元，占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  <w:lang w:val="en-US" w:eastAsia="zh-CN"/>
        </w:rPr>
        <w:t>67.95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</w:rPr>
        <w:t>%。</w:t>
      </w:r>
    </w:p>
    <w:p>
      <w:pPr>
        <w:widowControl w:val="0"/>
        <w:overflowPunct w:val="0"/>
        <w:autoSpaceDE/>
        <w:autoSpaceDN/>
        <w:spacing w:line="600" w:lineRule="exact"/>
        <w:ind w:right="136"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</w:rPr>
        <w:t>六、一般公共预算基本支出预算情况说明</w:t>
      </w:r>
    </w:p>
    <w:p>
      <w:pPr>
        <w:widowControl w:val="0"/>
        <w:kinsoku/>
        <w:overflowPunct w:val="0"/>
        <w:autoSpaceDE/>
        <w:autoSpaceDN/>
        <w:adjustRightInd/>
        <w:snapToGrid/>
        <w:spacing w:line="600" w:lineRule="exact"/>
        <w:ind w:firstLine="664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6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6"/>
          <w:sz w:val="32"/>
          <w:szCs w:val="32"/>
        </w:rPr>
        <w:t>伊川县学生资助管理中心2022年一般公共预算基本支出年初预算为1105.45万元。其中：人员经费支出：1088.17万元，占98.44%，公用经费支出17.28万元，占1.56%。</w:t>
      </w:r>
    </w:p>
    <w:p>
      <w:pPr>
        <w:widowControl w:val="0"/>
        <w:overflowPunct w:val="0"/>
        <w:autoSpaceDE/>
        <w:autoSpaceDN/>
        <w:spacing w:line="600" w:lineRule="exact"/>
        <w:ind w:right="136"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</w:rPr>
        <w:t>七、一般公共预算“三公”经费支出预算情况说明</w:t>
      </w:r>
    </w:p>
    <w:p>
      <w:pPr>
        <w:spacing w:line="600" w:lineRule="exact"/>
        <w:ind w:firstLine="664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6"/>
          <w:sz w:val="32"/>
          <w:szCs w:val="32"/>
        </w:rPr>
        <w:t>伊川县学生资助管理中心</w:t>
      </w:r>
      <w:r>
        <w:rPr>
          <w:rFonts w:ascii="Times New Roman" w:hAnsi="Times New Roman" w:eastAsia="仿宋_GB2312"/>
          <w:color w:val="auto"/>
          <w:sz w:val="32"/>
          <w:szCs w:val="32"/>
        </w:rPr>
        <w:t>2022年“三公”经费支出预算为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0</w:t>
      </w:r>
      <w:r>
        <w:rPr>
          <w:rFonts w:ascii="Times New Roman" w:hAnsi="Times New Roman" w:eastAsia="仿宋_GB2312"/>
          <w:color w:val="auto"/>
          <w:sz w:val="32"/>
          <w:szCs w:val="32"/>
        </w:rPr>
        <w:t>万元。2022年“三公”经费支出预算数比2021年增加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0</w:t>
      </w:r>
      <w:r>
        <w:rPr>
          <w:rFonts w:ascii="Times New Roman" w:hAnsi="Times New Roman" w:eastAsia="仿宋_GB2312"/>
          <w:color w:val="auto"/>
          <w:sz w:val="32"/>
          <w:szCs w:val="32"/>
        </w:rPr>
        <w:t>万元。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具体支出情况如下：</w:t>
      </w:r>
    </w:p>
    <w:p>
      <w:pPr>
        <w:autoSpaceDE w:val="0"/>
        <w:autoSpaceDN w:val="0"/>
        <w:adjustRightInd w:val="0"/>
        <w:snapToGrid w:val="0"/>
        <w:spacing w:line="600" w:lineRule="exact"/>
        <w:ind w:firstLine="639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b/>
          <w:color w:val="auto"/>
          <w:spacing w:val="-1"/>
          <w:kern w:val="0"/>
          <w:sz w:val="32"/>
          <w:szCs w:val="32"/>
        </w:rPr>
        <w:t>（一）因公出国（境）费</w:t>
      </w:r>
      <w:r>
        <w:rPr>
          <w:rFonts w:ascii="Times New Roman" w:hAnsi="Times New Roman" w:eastAsia="仿宋_GB2312"/>
          <w:color w:val="auto"/>
          <w:sz w:val="32"/>
          <w:szCs w:val="32"/>
        </w:rPr>
        <w:t>0万元</w:t>
      </w:r>
      <w:r>
        <w:rPr>
          <w:rFonts w:ascii="Times New Roman" w:hAnsi="Times New Roman" w:eastAsia="仿宋_GB2312"/>
          <w:color w:val="auto"/>
          <w:spacing w:val="-1"/>
          <w:kern w:val="0"/>
          <w:sz w:val="32"/>
          <w:szCs w:val="32"/>
        </w:rPr>
        <w:t>，</w:t>
      </w:r>
      <w:r>
        <w:rPr>
          <w:rFonts w:ascii="Times New Roman" w:hAnsi="Times New Roman" w:eastAsia="仿宋_GB2312"/>
          <w:color w:val="auto"/>
          <w:sz w:val="32"/>
          <w:szCs w:val="32"/>
        </w:rPr>
        <w:t>主要用于单位工作人员公务出国（境）的住宿费、旅费、伙食补助费、杂费、培训费等支出。预算数与2021年保持一致。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39" w:firstLineChars="200"/>
        <w:rPr>
          <w:rFonts w:hint="eastAsia" w:ascii="Times New Roman" w:hAnsi="Times New Roman" w:eastAsia="仿宋_GB2312"/>
          <w:b/>
          <w:color w:val="auto"/>
          <w:spacing w:val="-1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b/>
          <w:color w:val="auto"/>
          <w:spacing w:val="-1"/>
          <w:kern w:val="0"/>
          <w:sz w:val="32"/>
          <w:szCs w:val="32"/>
        </w:rPr>
        <w:t>（二）公务接待费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0</w:t>
      </w:r>
      <w:r>
        <w:rPr>
          <w:rFonts w:ascii="Times New Roman" w:hAnsi="Times New Roman" w:eastAsia="仿宋_GB2312"/>
          <w:color w:val="auto"/>
          <w:sz w:val="32"/>
          <w:szCs w:val="32"/>
        </w:rPr>
        <w:t>万元，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主要用于按规定开支的各类公务接待（含外宾接待）支出，预算数比2021年增加0</w:t>
      </w:r>
      <w:r>
        <w:rPr>
          <w:rFonts w:ascii="Times New Roman" w:hAnsi="Times New Roman" w:eastAsia="仿宋_GB2312"/>
          <w:color w:val="auto"/>
          <w:sz w:val="32"/>
          <w:szCs w:val="32"/>
        </w:rPr>
        <w:t>万元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。主要原因是本单位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无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接待费。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39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green"/>
          <w:lang w:eastAsia="zh-CN"/>
        </w:rPr>
      </w:pPr>
      <w:r>
        <w:rPr>
          <w:rFonts w:ascii="Times New Roman" w:hAnsi="Times New Roman" w:eastAsia="仿宋_GB2312"/>
          <w:b/>
          <w:color w:val="auto"/>
          <w:spacing w:val="-1"/>
          <w:kern w:val="0"/>
          <w:sz w:val="32"/>
          <w:szCs w:val="32"/>
        </w:rPr>
        <w:t>（三）公务用车购置及运行费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0</w:t>
      </w:r>
      <w:r>
        <w:rPr>
          <w:rFonts w:ascii="Times New Roman" w:hAnsi="Times New Roman" w:eastAsia="仿宋_GB2312"/>
          <w:color w:val="auto"/>
          <w:sz w:val="32"/>
          <w:szCs w:val="32"/>
        </w:rPr>
        <w:t>万元，其中：公务用车购置费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0</w:t>
      </w:r>
      <w:r>
        <w:rPr>
          <w:rFonts w:ascii="Times New Roman" w:hAnsi="Times New Roman" w:eastAsia="仿宋_GB2312"/>
          <w:color w:val="auto"/>
          <w:sz w:val="32"/>
          <w:szCs w:val="32"/>
        </w:rPr>
        <w:t>万元；公务用车运行维护费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0</w:t>
      </w:r>
      <w:r>
        <w:rPr>
          <w:rFonts w:ascii="Times New Roman" w:hAnsi="Times New Roman" w:eastAsia="仿宋_GB2312"/>
          <w:color w:val="auto"/>
          <w:sz w:val="32"/>
          <w:szCs w:val="32"/>
        </w:rPr>
        <w:t>万元，主要用于开展工作所需公务用车的燃料费、维修费、过路过桥费、保险费、安全奖励费用等支出。公务用车购置费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预算数比2021年增加0万元，公务用车运行维护费预算数比2021年增加0万元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。</w:t>
      </w:r>
    </w:p>
    <w:p>
      <w:pPr>
        <w:widowControl w:val="0"/>
        <w:overflowPunct w:val="0"/>
        <w:autoSpaceDE/>
        <w:autoSpaceDN/>
        <w:spacing w:line="600" w:lineRule="exact"/>
        <w:ind w:right="136"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</w:rPr>
        <w:t>八、政府性基金支出预算情况说明</w:t>
      </w:r>
    </w:p>
    <w:p>
      <w:pPr>
        <w:widowControl w:val="0"/>
        <w:kinsoku/>
        <w:overflowPunct w:val="0"/>
        <w:autoSpaceDE/>
        <w:autoSpaceDN/>
        <w:adjustRightInd/>
        <w:snapToGrid/>
        <w:spacing w:line="600" w:lineRule="exact"/>
        <w:ind w:firstLine="664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6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6"/>
          <w:sz w:val="32"/>
          <w:szCs w:val="32"/>
        </w:rPr>
        <w:t>伊川县学生资助管理中心202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</w:rPr>
        <w:t>年无政府性基金预算 拨款安排的支出。</w:t>
      </w:r>
    </w:p>
    <w:p>
      <w:pPr>
        <w:widowControl w:val="0"/>
        <w:overflowPunct w:val="0"/>
        <w:autoSpaceDE/>
        <w:autoSpaceDN/>
        <w:spacing w:line="600" w:lineRule="exact"/>
        <w:ind w:right="136"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</w:rPr>
        <w:t>九、国有资本经营预算支出预算情况说明</w:t>
      </w:r>
    </w:p>
    <w:p>
      <w:pPr>
        <w:widowControl w:val="0"/>
        <w:kinsoku/>
        <w:overflowPunct w:val="0"/>
        <w:autoSpaceDE/>
        <w:autoSpaceDN/>
        <w:adjustRightInd/>
        <w:snapToGrid/>
        <w:spacing w:line="600" w:lineRule="exact"/>
        <w:ind w:firstLine="664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6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6"/>
          <w:sz w:val="32"/>
          <w:szCs w:val="32"/>
        </w:rPr>
        <w:t>伊川县学生资助管理中心2022年无国有资本经营预 算拨款安排的支出。</w:t>
      </w:r>
    </w:p>
    <w:p>
      <w:pPr>
        <w:widowControl w:val="0"/>
        <w:overflowPunct w:val="0"/>
        <w:autoSpaceDE/>
        <w:autoSpaceDN/>
        <w:spacing w:line="600" w:lineRule="exact"/>
        <w:ind w:right="136"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</w:rPr>
        <w:t>十、其他重要事项情况说明</w:t>
      </w:r>
    </w:p>
    <w:p>
      <w:pPr>
        <w:spacing w:before="219" w:line="226" w:lineRule="auto"/>
        <w:ind w:left="680"/>
        <w:rPr>
          <w:rFonts w:ascii="仿宋" w:hAnsi="仿宋" w:eastAsia="仿宋" w:cs="仿宋"/>
          <w:color w:val="auto"/>
          <w:sz w:val="31"/>
          <w:szCs w:val="31"/>
        </w:rPr>
      </w:pPr>
      <w:r>
        <w:rPr>
          <w:rFonts w:ascii="Times New Roman" w:hAnsi="Times New Roman" w:eastAsia="仿宋_GB2312" w:cs="Times New Roman"/>
          <w:b/>
          <w:snapToGrid/>
          <w:color w:val="auto"/>
          <w:kern w:val="0"/>
          <w:sz w:val="32"/>
          <w:szCs w:val="32"/>
        </w:rPr>
        <w:t>( 一) 行政 (事业) 单位机构运行经费支出预算情况</w:t>
      </w:r>
    </w:p>
    <w:p>
      <w:pPr>
        <w:widowControl w:val="0"/>
        <w:kinsoku/>
        <w:overflowPunct w:val="0"/>
        <w:autoSpaceDE/>
        <w:autoSpaceDN/>
        <w:adjustRightInd/>
        <w:snapToGrid/>
        <w:spacing w:line="600" w:lineRule="exact"/>
        <w:ind w:firstLine="664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6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6"/>
          <w:sz w:val="32"/>
          <w:szCs w:val="32"/>
        </w:rPr>
        <w:t>伊川县学生资助管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理中心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2022年机构</w:t>
      </w:r>
      <w:r>
        <w:rPr>
          <w:rFonts w:ascii="Times New Roman" w:hAnsi="Times New Roman" w:eastAsia="仿宋_GB2312"/>
          <w:color w:val="auto"/>
          <w:sz w:val="32"/>
          <w:szCs w:val="32"/>
        </w:rPr>
        <w:t>运行经费支出预算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17.28万元</w:t>
      </w:r>
      <w:r>
        <w:rPr>
          <w:rFonts w:ascii="Times New Roman" w:hAnsi="Times New Roman" w:eastAsia="仿宋_GB2312"/>
          <w:color w:val="auto"/>
          <w:sz w:val="32"/>
          <w:szCs w:val="32"/>
        </w:rPr>
        <w:t>，主要保障机构正常运转及正常履职需要所需支出，包含公用经费、公务交通补贴、工会经费、职工福利费等。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与2021年预算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17.58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万元相比，支出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0.3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1.71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%，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主要原因：2022年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压减单位各项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经费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支出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spacing w:before="219" w:line="226" w:lineRule="auto"/>
        <w:ind w:left="680"/>
        <w:rPr>
          <w:rFonts w:ascii="Times New Roman" w:hAnsi="Times New Roman" w:eastAsia="仿宋_GB2312" w:cs="Times New Roman"/>
          <w:b/>
          <w:snapToGrid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snapToGrid/>
          <w:color w:val="auto"/>
          <w:kern w:val="0"/>
          <w:sz w:val="32"/>
          <w:szCs w:val="32"/>
        </w:rPr>
        <w:t>(二) 政府采购支出预算情况</w:t>
      </w:r>
    </w:p>
    <w:p>
      <w:pPr>
        <w:widowControl w:val="0"/>
        <w:kinsoku/>
        <w:overflowPunct w:val="0"/>
        <w:autoSpaceDE/>
        <w:autoSpaceDN/>
        <w:adjustRightInd/>
        <w:snapToGrid/>
        <w:spacing w:line="600" w:lineRule="exact"/>
        <w:ind w:firstLine="664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6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6"/>
          <w:sz w:val="32"/>
          <w:szCs w:val="32"/>
        </w:rPr>
        <w:t>伊川县学生资助管理中心2022年政府采购预算安排 0万元，其中：政府采购货物预算0万元、政府采购工程预 算0万元、政府采购服务预算0万元。</w:t>
      </w:r>
    </w:p>
    <w:p>
      <w:pPr>
        <w:spacing w:before="219" w:line="226" w:lineRule="auto"/>
        <w:ind w:left="680"/>
        <w:rPr>
          <w:rFonts w:ascii="Times New Roman" w:hAnsi="Times New Roman" w:eastAsia="仿宋_GB2312" w:cs="Times New Roman"/>
          <w:b/>
          <w:snapToGrid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snapToGrid/>
          <w:color w:val="auto"/>
          <w:kern w:val="0"/>
          <w:sz w:val="32"/>
          <w:szCs w:val="32"/>
        </w:rPr>
        <w:t>(三) 绩效目标设置情况</w:t>
      </w:r>
    </w:p>
    <w:p>
      <w:pPr>
        <w:widowControl w:val="0"/>
        <w:kinsoku/>
        <w:overflowPunct w:val="0"/>
        <w:autoSpaceDE/>
        <w:autoSpaceDN/>
        <w:adjustRightInd/>
        <w:snapToGrid/>
        <w:spacing w:line="600" w:lineRule="exact"/>
        <w:ind w:firstLine="664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6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6"/>
          <w:sz w:val="32"/>
          <w:szCs w:val="32"/>
        </w:rPr>
        <w:t>伊川县学生资助管理中心</w:t>
      </w:r>
      <w:r>
        <w:rPr>
          <w:rFonts w:ascii="Times New Roman" w:hAnsi="Times New Roman" w:eastAsia="仿宋_GB2312"/>
          <w:sz w:val="32"/>
          <w:szCs w:val="32"/>
        </w:rPr>
        <w:t>2022年预算项目均按要求编制了绩效目标，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</w:rPr>
        <w:t>从项目产出、项目效益、满意度等方面设置了绩效指标，综合反映项目预期完成数量、实效、质量，预期达到的社会经济效益、可持续影响以及服务对象满意度等情况。</w:t>
      </w:r>
    </w:p>
    <w:p>
      <w:pPr>
        <w:spacing w:before="219" w:line="226" w:lineRule="auto"/>
        <w:ind w:left="680"/>
        <w:rPr>
          <w:rFonts w:ascii="Times New Roman" w:hAnsi="Times New Roman" w:eastAsia="仿宋_GB2312" w:cs="Times New Roman"/>
          <w:b/>
          <w:snapToGrid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snapToGrid/>
          <w:color w:val="auto"/>
          <w:kern w:val="0"/>
          <w:sz w:val="32"/>
          <w:szCs w:val="32"/>
        </w:rPr>
        <w:t>( 四) 国有资产占用情况</w:t>
      </w:r>
    </w:p>
    <w:p>
      <w:pPr>
        <w:widowControl w:val="0"/>
        <w:kinsoku/>
        <w:overflowPunct w:val="0"/>
        <w:autoSpaceDE/>
        <w:autoSpaceDN/>
        <w:adjustRightInd/>
        <w:snapToGrid/>
        <w:spacing w:line="600" w:lineRule="exact"/>
        <w:ind w:firstLine="664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6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6"/>
          <w:sz w:val="32"/>
          <w:szCs w:val="32"/>
        </w:rPr>
        <w:t>2021年期末，河南省伊川县招生考试办公室共有车辆1辆，其中：一般公务用车1辆、一般执法执勤用车0辆、特种专业技术用车0辆，其他用车0辆，单价50万元以上通用设备0台（套），单位价值100万元以上专用设备0台（套）。</w:t>
      </w:r>
    </w:p>
    <w:p>
      <w:pPr>
        <w:spacing w:before="219" w:line="226" w:lineRule="auto"/>
        <w:ind w:left="680"/>
        <w:rPr>
          <w:rFonts w:ascii="Times New Roman" w:hAnsi="Times New Roman" w:eastAsia="仿宋_GB2312" w:cs="Times New Roman"/>
          <w:b/>
          <w:snapToGrid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snapToGrid/>
          <w:color w:val="auto"/>
          <w:kern w:val="0"/>
          <w:sz w:val="32"/>
          <w:szCs w:val="32"/>
        </w:rPr>
        <w:t>(五) 专项转移支付项目情况</w:t>
      </w:r>
    </w:p>
    <w:p>
      <w:pPr>
        <w:widowControl w:val="0"/>
        <w:kinsoku/>
        <w:overflowPunct w:val="0"/>
        <w:autoSpaceDE/>
        <w:autoSpaceDN/>
        <w:adjustRightInd/>
        <w:snapToGrid/>
        <w:spacing w:line="600" w:lineRule="exact"/>
        <w:ind w:firstLine="664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6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6"/>
          <w:sz w:val="32"/>
          <w:szCs w:val="32"/>
        </w:rPr>
        <w:t>伊川县学生资助管理中心2022年无负责管理的专项 转移支付项目。</w:t>
      </w:r>
    </w:p>
    <w:p>
      <w:pPr>
        <w:widowControl w:val="0"/>
        <w:kinsoku/>
        <w:overflowPunct w:val="0"/>
        <w:autoSpaceDE/>
        <w:autoSpaceDN/>
        <w:adjustRightInd/>
        <w:snapToGrid/>
        <w:spacing w:line="600" w:lineRule="exact"/>
        <w:ind w:firstLine="664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6"/>
          <w:sz w:val="32"/>
          <w:szCs w:val="32"/>
        </w:rPr>
        <w:sectPr>
          <w:pgSz w:w="11906" w:h="16839"/>
          <w:pgMar w:top="1431" w:right="1785" w:bottom="1417" w:left="1785" w:header="0" w:footer="567" w:gutter="0"/>
          <w:pgNumType w:fmt="numberInDash"/>
          <w:cols w:space="720" w:num="1"/>
        </w:sectPr>
      </w:pPr>
    </w:p>
    <w:p>
      <w:pPr>
        <w:widowControl w:val="0"/>
        <w:kinsoku/>
        <w:overflowPunct w:val="0"/>
        <w:autoSpaceDE/>
        <w:autoSpaceDN/>
        <w:spacing w:line="60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6"/>
          <w:szCs w:val="36"/>
        </w:rPr>
      </w:pPr>
      <w:r>
        <w:rPr>
          <w:rFonts w:ascii="Times New Roman" w:hAnsi="Times New Roman" w:eastAsia="黑体" w:cs="Times New Roman"/>
          <w:snapToGrid/>
          <w:color w:val="auto"/>
          <w:kern w:val="2"/>
          <w:sz w:val="36"/>
          <w:szCs w:val="36"/>
        </w:rPr>
        <w:t>第三部分</w:t>
      </w:r>
    </w:p>
    <w:p>
      <w:pPr>
        <w:spacing w:before="208" w:line="225" w:lineRule="auto"/>
        <w:ind w:left="358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名词解</w:t>
      </w:r>
      <w:r>
        <w:rPr>
          <w:rFonts w:ascii="宋体" w:hAnsi="宋体" w:eastAsia="宋体" w:cs="宋体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释</w:t>
      </w:r>
    </w:p>
    <w:p>
      <w:pPr>
        <w:spacing w:line="358" w:lineRule="auto"/>
      </w:pPr>
    </w:p>
    <w:p>
      <w:pPr>
        <w:spacing w:line="359" w:lineRule="auto"/>
      </w:pPr>
    </w:p>
    <w:p>
      <w:pPr>
        <w:widowControl w:val="0"/>
        <w:kinsoku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  <w:t>一、财政拨款收入：是指同级财政拨付的资金：包括一 般公共预算拨款、政府性基金预算拨款、国有资本经营预算 拨款。</w:t>
      </w:r>
    </w:p>
    <w:p>
      <w:pPr>
        <w:widowControl w:val="0"/>
        <w:kinsoku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  <w:t>二、事业收入：是指事业单位开展专业活动及辅助活动 所取得的收入。</w:t>
      </w:r>
    </w:p>
    <w:p>
      <w:pPr>
        <w:widowControl w:val="0"/>
        <w:kinsoku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  <w:t>三、其他收入：是指单位取得的除“财政拨款”、“事业收 入” 、“事业单位经营收入”等以外的收入。</w:t>
      </w:r>
    </w:p>
    <w:p>
      <w:pPr>
        <w:widowControl w:val="0"/>
        <w:kinsoku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  <w:t xml:space="preserve">四、用事业基金弥补收支差额：是指事业单位在当年的 “财政拨款收入” 、“事业收入” 、“经营收入”和“其他收入”不 足以安排当年支出的情况下，使用以前年度积累的事业基金 </w:t>
      </w:r>
      <w:r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  <w:tab/>
      </w:r>
      <w:r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  <w:t>(即事业单位以前各年度收支相抵后，按国家规定提取、用 于弥补以后年度收支差额的基金) 弥补当年收支缺口资金。</w:t>
      </w:r>
    </w:p>
    <w:p>
      <w:pPr>
        <w:widowControl w:val="0"/>
        <w:kinsoku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  <w:t>五、基本支出：是指为保障机构正常运转、完成日常工 作任务所必需的开支，其内容包括人员经费和日常公用经费 两部分。</w:t>
      </w:r>
    </w:p>
    <w:p>
      <w:pPr>
        <w:widowControl w:val="0"/>
        <w:kinsoku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  <w:t>六、项目支出：是指在基本支出之外，为完成特定的行 政工作任务或事业发展目标所发生的支出。</w:t>
      </w:r>
    </w:p>
    <w:p>
      <w:pPr>
        <w:widowControl w:val="0"/>
        <w:kinsoku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  <w:t>七、“三公”经费：是指纳入同级财政预算管理，单位使 用财政拨款安排的因公出国 (境) 费、公务用车购置及运行 费和公务接待费。其中，因公出国 (境) 费反映单位公务出</w:t>
      </w:r>
    </w:p>
    <w:p>
      <w:pPr>
        <w:widowControl w:val="0"/>
        <w:kinsoku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  <w:sectPr>
          <w:pgSz w:w="11906" w:h="16839"/>
          <w:pgMar w:top="1431" w:right="1785" w:bottom="1417" w:left="1741" w:header="0" w:footer="567" w:gutter="0"/>
          <w:pgNumType w:fmt="numberInDash"/>
          <w:cols w:space="720" w:num="1"/>
        </w:sectPr>
      </w:pPr>
    </w:p>
    <w:p>
      <w:pPr>
        <w:widowControl w:val="0"/>
        <w:kinsoku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  <w:t xml:space="preserve">国 (境) 的住宿费、差旅费、伙食补助费、杂费、培训费等 支出；公务用车购置及运行费反映单位公务用车购置费及租 用费、燃料费、维修费、过路过桥费、保险费、安全奖励费 用等支出；公务接待费反映单位按规定开支的各类公务接待 </w:t>
      </w:r>
      <w:r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  <w:tab/>
      </w:r>
      <w:r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  <w:t>(含外宾接待) 支出。</w:t>
      </w:r>
    </w:p>
    <w:p>
      <w:pPr>
        <w:widowControl w:val="0"/>
        <w:kinsoku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  <w:t>八、行政 (事业) 单位机构运行经费：是指为保障行政 单位 (包括行政单位和事业单位) 运行用于购买货物和服务 的各项资金，包括办公费、印刷费、邮电费、差旅费、会议 费、福利费、 日常维修费及一般设备购置费、办公用房水电 费、办公用房取暖费、办公用房物业管理费、公务用车运行 维护费以及其他费用。</w:t>
      </w:r>
    </w:p>
    <w:p>
      <w:pPr>
        <w:spacing w:line="468" w:lineRule="auto"/>
      </w:pPr>
    </w:p>
    <w:p>
      <w:pPr>
        <w:spacing w:before="101" w:line="227" w:lineRule="auto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附</w:t>
      </w:r>
      <w:r>
        <w:rPr>
          <w:rFonts w:ascii="仿宋" w:hAnsi="仿宋" w:eastAsia="仿宋" w:cs="仿宋"/>
          <w:spacing w:val="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件：</w:t>
      </w:r>
      <w:r>
        <w:rPr>
          <w:rFonts w:ascii="Times New Roman" w:hAnsi="Times New Roman" w:eastAsia="Times New Roman" w:cs="Times New Roman"/>
          <w:b/>
          <w:bCs/>
          <w:spacing w:val="8"/>
          <w:sz w:val="31"/>
          <w:szCs w:val="31"/>
        </w:rPr>
        <w:t>2022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年伊川县学生资助管理中心预算表</w:t>
      </w:r>
    </w:p>
    <w:p>
      <w:pPr>
        <w:sectPr>
          <w:pgSz w:w="11906" w:h="16839"/>
          <w:pgMar w:top="1431" w:right="1785" w:bottom="1417" w:left="1785" w:header="0" w:footer="567" w:gutter="0"/>
          <w:pgNumType w:fmt="numberInDash"/>
          <w:cols w:space="720" w:num="1"/>
        </w:sectPr>
      </w:pPr>
    </w:p>
    <w:p>
      <w:pPr>
        <w:spacing w:line="260" w:lineRule="auto"/>
      </w:pPr>
    </w:p>
    <w:p>
      <w:pPr>
        <w:spacing w:line="260" w:lineRule="auto"/>
      </w:pPr>
    </w:p>
    <w:p>
      <w:pPr>
        <w:spacing w:line="260" w:lineRule="auto"/>
      </w:pPr>
    </w:p>
    <w:p>
      <w:pPr>
        <w:spacing w:line="261" w:lineRule="auto"/>
      </w:pPr>
    </w:p>
    <w:p>
      <w:pPr>
        <w:spacing w:before="55" w:line="196" w:lineRule="auto"/>
        <w:ind w:left="56"/>
        <w:jc w:val="right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8"/>
          <w:sz w:val="17"/>
          <w:szCs w:val="17"/>
        </w:rPr>
        <w:t>单</w:t>
      </w:r>
      <w:r>
        <w:rPr>
          <w:rFonts w:ascii="宋体" w:hAnsi="宋体" w:eastAsia="宋体" w:cs="宋体"/>
          <w:spacing w:val="7"/>
          <w:sz w:val="17"/>
          <w:szCs w:val="17"/>
        </w:rPr>
        <w:t>位名称:</w:t>
      </w:r>
    </w:p>
    <w:p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>
      <w:pPr>
        <w:spacing w:line="378" w:lineRule="auto"/>
      </w:pPr>
    </w:p>
    <w:p>
      <w:pPr>
        <w:spacing w:before="120" w:line="225" w:lineRule="auto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13"/>
          <w:sz w:val="37"/>
          <w:szCs w:val="37"/>
          <w14:textOutline w14:w="6883" w14:cap="sq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8"/>
          <w:sz w:val="37"/>
          <w:szCs w:val="37"/>
          <w14:textOutline w14:w="6883" w14:cap="sq" w14:cmpd="sng" w14:algn="ctr">
            <w14:solidFill>
              <w14:srgbClr w14:val="000000"/>
            </w14:solidFill>
            <w14:prstDash w14:val="solid"/>
            <w14:bevel/>
          </w14:textOutline>
        </w:rPr>
        <w:t>022年单位收支预算表</w:t>
      </w:r>
    </w:p>
    <w:p>
      <w:pPr>
        <w:spacing w:before="149" w:line="196" w:lineRule="auto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3"/>
          <w:sz w:val="17"/>
          <w:szCs w:val="17"/>
        </w:rPr>
        <w:t>伊</w:t>
      </w:r>
      <w:r>
        <w:rPr>
          <w:rFonts w:ascii="宋体" w:hAnsi="宋体" w:eastAsia="宋体" w:cs="宋体"/>
          <w:spacing w:val="9"/>
          <w:sz w:val="17"/>
          <w:szCs w:val="17"/>
        </w:rPr>
        <w:t>川县</w:t>
      </w:r>
      <w:r>
        <w:rPr>
          <w:rFonts w:hint="eastAsia" w:ascii="宋体" w:hAnsi="宋体" w:eastAsia="宋体" w:cs="宋体"/>
          <w:spacing w:val="9"/>
          <w:sz w:val="17"/>
          <w:szCs w:val="17"/>
        </w:rPr>
        <w:t>学生资助管理中心</w:t>
      </w:r>
    </w:p>
    <w:p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>
      <w:pPr>
        <w:spacing w:before="74" w:line="231" w:lineRule="auto"/>
        <w:ind w:left="180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7"/>
          <w:sz w:val="17"/>
          <w:szCs w:val="17"/>
        </w:rPr>
        <w:t>预</w:t>
      </w:r>
      <w:r>
        <w:rPr>
          <w:rFonts w:ascii="宋体" w:hAnsi="宋体" w:eastAsia="宋体" w:cs="宋体"/>
          <w:spacing w:val="6"/>
          <w:sz w:val="17"/>
          <w:szCs w:val="17"/>
        </w:rPr>
        <w:t>算01表</w:t>
      </w:r>
    </w:p>
    <w:p>
      <w:pPr>
        <w:spacing w:line="251" w:lineRule="auto"/>
      </w:pPr>
    </w:p>
    <w:p>
      <w:pPr>
        <w:spacing w:line="251" w:lineRule="auto"/>
      </w:pPr>
    </w:p>
    <w:p>
      <w:pPr>
        <w:spacing w:line="252" w:lineRule="auto"/>
      </w:pPr>
    </w:p>
    <w:p>
      <w:pPr>
        <w:spacing w:before="55" w:line="196" w:lineRule="auto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单</w:t>
      </w:r>
      <w:r>
        <w:rPr>
          <w:rFonts w:ascii="宋体" w:hAnsi="宋体" w:eastAsia="宋体" w:cs="宋体"/>
          <w:spacing w:val="8"/>
          <w:sz w:val="17"/>
          <w:szCs w:val="17"/>
        </w:rPr>
        <w:t>位：万元</w:t>
      </w:r>
    </w:p>
    <w:p>
      <w:pPr>
        <w:sectPr>
          <w:pgSz w:w="11905" w:h="16837"/>
          <w:pgMar w:top="1205" w:right="1719" w:bottom="0" w:left="1747" w:header="0" w:footer="567" w:gutter="0"/>
          <w:pgNumType w:fmt="numberInDash"/>
          <w:cols w:equalWidth="0" w:num="3">
            <w:col w:w="2236" w:space="100"/>
            <w:col w:w="5079" w:space="100"/>
            <w:col w:w="926"/>
          </w:cols>
        </w:sectPr>
      </w:pPr>
    </w:p>
    <w:p>
      <w:pPr>
        <w:spacing w:line="117" w:lineRule="exact"/>
      </w:pPr>
    </w:p>
    <w:p>
      <w:pPr>
        <w:spacing w:line="14" w:lineRule="auto"/>
        <w:rPr>
          <w:sz w:val="2"/>
        </w:rPr>
      </w:pPr>
    </w:p>
    <w:p>
      <w:pPr>
        <w:sectPr>
          <w:type w:val="continuous"/>
          <w:pgSz w:w="11905" w:h="16837"/>
          <w:pgMar w:top="1205" w:right="1719" w:bottom="0" w:left="1747" w:header="0" w:footer="0" w:gutter="0"/>
          <w:pgNumType w:fmt="numberInDash"/>
          <w:cols w:equalWidth="0" w:num="1">
            <w:col w:w="8439"/>
          </w:cols>
        </w:sectPr>
      </w:pPr>
      <w:r>
        <w:drawing>
          <wp:inline distT="0" distB="0" distL="0" distR="0">
            <wp:extent cx="5358765" cy="6489700"/>
            <wp:effectExtent l="0" t="0" r="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8765" cy="6490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54" w:lineRule="auto"/>
      </w:pPr>
    </w:p>
    <w:p>
      <w:pPr>
        <w:spacing w:line="254" w:lineRule="auto"/>
      </w:pPr>
      <w:r>
        <w:rPr>
          <w:rFonts w:hint="eastAsia"/>
        </w:rPr>
        <w:drawing>
          <wp:inline distT="0" distB="0" distL="0" distR="0">
            <wp:extent cx="9313545" cy="1501775"/>
            <wp:effectExtent l="0" t="0" r="1905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13545" cy="15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  <w:r>
        <w:rPr>
          <w:rFonts w:hint="eastAsia"/>
        </w:rPr>
        <w:drawing>
          <wp:inline distT="0" distB="0" distL="0" distR="0">
            <wp:extent cx="9313545" cy="3104515"/>
            <wp:effectExtent l="0" t="0" r="1905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13545" cy="310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  <w:r>
        <w:rPr>
          <w:rFonts w:hint="eastAsia"/>
        </w:rPr>
        <w:drawing>
          <wp:inline distT="0" distB="0" distL="0" distR="0">
            <wp:extent cx="9120505" cy="5414010"/>
            <wp:effectExtent l="0" t="0" r="4445" b="152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20505" cy="541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54" w:lineRule="auto"/>
      </w:pPr>
      <w:r>
        <w:rPr>
          <w:rFonts w:hint="eastAsia"/>
        </w:rPr>
        <w:drawing>
          <wp:inline distT="0" distB="0" distL="0" distR="0">
            <wp:extent cx="9313545" cy="3594100"/>
            <wp:effectExtent l="0" t="0" r="1905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13545" cy="359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  <w:r>
        <w:rPr>
          <w:rFonts w:hint="eastAsia"/>
        </w:rPr>
        <w:drawing>
          <wp:inline distT="0" distB="0" distL="0" distR="0">
            <wp:extent cx="8991600" cy="37338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16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  <w:r>
        <w:rPr>
          <w:rFonts w:hint="eastAsia"/>
        </w:rPr>
        <w:drawing>
          <wp:inline distT="0" distB="0" distL="0" distR="0">
            <wp:extent cx="9251315" cy="2998470"/>
            <wp:effectExtent l="0" t="0" r="6985" b="1143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1315" cy="299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  <w:r>
        <w:rPr>
          <w:rFonts w:hint="eastAsia"/>
        </w:rPr>
        <w:drawing>
          <wp:inline distT="0" distB="0" distL="0" distR="0">
            <wp:extent cx="8924925" cy="2418715"/>
            <wp:effectExtent l="0" t="0" r="9525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24925" cy="241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伊川县学生资助管理中心2022年无一般公共预算“三公”经费预算，故此表无数据。</w:t>
      </w: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  <w:r>
        <w:rPr>
          <w:rFonts w:hint="eastAsia"/>
        </w:rPr>
        <w:drawing>
          <wp:inline distT="0" distB="0" distL="0" distR="0">
            <wp:extent cx="9251315" cy="175895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1315" cy="1759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备注：</w:t>
      </w:r>
      <w:r>
        <w:rPr>
          <w:rFonts w:hint="eastAsia" w:ascii="宋体" w:hAnsi="宋体" w:eastAsia="宋体" w:cs="宋体"/>
          <w:sz w:val="18"/>
          <w:szCs w:val="18"/>
          <w:lang w:bidi="ar"/>
        </w:rPr>
        <w:t>伊川县学生资助管理中心</w:t>
      </w:r>
      <w:r>
        <w:rPr>
          <w:rFonts w:hint="eastAsia"/>
          <w:sz w:val="18"/>
          <w:szCs w:val="18"/>
        </w:rPr>
        <w:t>2</w:t>
      </w:r>
      <w:r>
        <w:rPr>
          <w:sz w:val="18"/>
          <w:szCs w:val="18"/>
        </w:rPr>
        <w:t>022</w:t>
      </w:r>
      <w:r>
        <w:rPr>
          <w:rFonts w:hint="eastAsia"/>
          <w:sz w:val="18"/>
          <w:szCs w:val="18"/>
        </w:rPr>
        <w:t>年无政府性基金预算拨付安排的支出，故此表无数据。</w:t>
      </w: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  <w:r>
        <w:rPr>
          <w:rFonts w:hint="eastAsia"/>
        </w:rPr>
        <w:drawing>
          <wp:inline distT="0" distB="0" distL="0" distR="0">
            <wp:extent cx="9251315" cy="17589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1315" cy="1759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备注：</w:t>
      </w:r>
      <w:r>
        <w:rPr>
          <w:rFonts w:hint="eastAsia" w:ascii="宋体" w:hAnsi="宋体" w:eastAsia="宋体" w:cs="宋体"/>
          <w:sz w:val="18"/>
          <w:szCs w:val="18"/>
          <w:lang w:bidi="ar"/>
        </w:rPr>
        <w:t>伊川县学生资助管理中心</w:t>
      </w:r>
      <w:r>
        <w:rPr>
          <w:rFonts w:hint="eastAsia"/>
          <w:sz w:val="18"/>
          <w:szCs w:val="18"/>
        </w:rPr>
        <w:t>2</w:t>
      </w:r>
      <w:r>
        <w:rPr>
          <w:sz w:val="18"/>
          <w:szCs w:val="18"/>
        </w:rPr>
        <w:t>022</w:t>
      </w:r>
      <w:r>
        <w:rPr>
          <w:rFonts w:hint="eastAsia"/>
          <w:sz w:val="18"/>
          <w:szCs w:val="18"/>
        </w:rPr>
        <w:t>年无国有资本经营支出预算拨付安排的支出，故此表无数据。</w:t>
      </w: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  <w:r>
        <w:rPr>
          <w:rFonts w:hint="eastAsia"/>
        </w:rPr>
        <w:drawing>
          <wp:inline distT="0" distB="0" distL="0" distR="0">
            <wp:extent cx="9251315" cy="4307840"/>
            <wp:effectExtent l="0" t="0" r="698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1315" cy="4308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tbl>
      <w:tblPr>
        <w:tblStyle w:val="5"/>
        <w:tblW w:w="1453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1577"/>
        <w:gridCol w:w="711"/>
        <w:gridCol w:w="751"/>
        <w:gridCol w:w="652"/>
        <w:gridCol w:w="361"/>
        <w:gridCol w:w="1227"/>
        <w:gridCol w:w="1014"/>
        <w:gridCol w:w="1369"/>
        <w:gridCol w:w="904"/>
        <w:gridCol w:w="883"/>
        <w:gridCol w:w="793"/>
        <w:gridCol w:w="1196"/>
        <w:gridCol w:w="1143"/>
      </w:tblGrid>
      <w:tr>
        <w:trPr>
          <w:trHeight w:val="291" w:hRule="atLeast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预算12表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4534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8"/>
                <w:szCs w:val="38"/>
                <w:lang w:bidi="ar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8"/>
                <w:szCs w:val="38"/>
                <w:lang w:bidi="ar"/>
              </w:rPr>
              <w:t>2022年单位预算项目绩效目标表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 w:bidi="ar"/>
              </w:rPr>
              <w:t>单位名称：伊川县学生资助管理中心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                                                                                                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单位编码（项目编码）</w:t>
            </w:r>
          </w:p>
        </w:tc>
        <w:tc>
          <w:tcPr>
            <w:tcW w:w="1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项目单位 （项目名称）</w:t>
            </w:r>
          </w:p>
        </w:tc>
        <w:tc>
          <w:tcPr>
            <w:tcW w:w="247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项目金额（万元）</w:t>
            </w:r>
          </w:p>
        </w:tc>
        <w:tc>
          <w:tcPr>
            <w:tcW w:w="852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绩效目标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成本指标  </w:t>
            </w: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产出指标  </w:t>
            </w: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效益指标  </w:t>
            </w:r>
          </w:p>
        </w:tc>
        <w:tc>
          <w:tcPr>
            <w:tcW w:w="2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满意度指标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资金总额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政府预算资金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财政专户管理资金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单位资金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三级指标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指标值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三级指标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指标值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三级指标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指标值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三级指标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伊川县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学生管理资助中心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cs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599.10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cs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599.10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410329220000000064812</w:t>
            </w:r>
          </w:p>
        </w:tc>
        <w:tc>
          <w:tcPr>
            <w:tcW w:w="1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豫财教（2021）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89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号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2022年城乡义务教育经费保障机制一补中央资金</w:t>
            </w:r>
          </w:p>
        </w:tc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cs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599.10</w:t>
            </w: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cs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599.10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一补中央资金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5991000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元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发放人数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6000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人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收益人幸福感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提升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服务对象满意度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≥97%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发放准确率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100%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发放及时率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100%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ascii="宋体" w:hAnsi="宋体" w:eastAsia="宋体" w:cs="宋体"/>
          <w:sz w:val="14"/>
          <w:szCs w:val="1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6837" w:h="11905"/>
      <w:pgMar w:top="1984" w:right="1191" w:bottom="1417" w:left="1077" w:header="0" w:footer="567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bidi w:val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ZmM0ZDU3MzUyYzE4YTQ1Zjk3YTQ3NjQ2YjJlODRmYTcifQ=="/>
  </w:docVars>
  <w:rsids>
    <w:rsidRoot w:val="00F57472"/>
    <w:rsid w:val="000C3209"/>
    <w:rsid w:val="001072ED"/>
    <w:rsid w:val="001108BC"/>
    <w:rsid w:val="002B2302"/>
    <w:rsid w:val="00317A74"/>
    <w:rsid w:val="00356805"/>
    <w:rsid w:val="003C3DA6"/>
    <w:rsid w:val="00484888"/>
    <w:rsid w:val="004C005F"/>
    <w:rsid w:val="004F00B8"/>
    <w:rsid w:val="00566C56"/>
    <w:rsid w:val="00686364"/>
    <w:rsid w:val="006B60B3"/>
    <w:rsid w:val="0079306A"/>
    <w:rsid w:val="009F2ED2"/>
    <w:rsid w:val="00AC1EF0"/>
    <w:rsid w:val="00B728A7"/>
    <w:rsid w:val="00CB332C"/>
    <w:rsid w:val="00DE3826"/>
    <w:rsid w:val="00EA008A"/>
    <w:rsid w:val="00F54E29"/>
    <w:rsid w:val="00F57472"/>
    <w:rsid w:val="00F8278D"/>
    <w:rsid w:val="00FB29B9"/>
    <w:rsid w:val="049B394B"/>
    <w:rsid w:val="0648365F"/>
    <w:rsid w:val="0B2E5519"/>
    <w:rsid w:val="0F52720A"/>
    <w:rsid w:val="12AF5192"/>
    <w:rsid w:val="12E36BE9"/>
    <w:rsid w:val="14383989"/>
    <w:rsid w:val="14F90946"/>
    <w:rsid w:val="18414ADE"/>
    <w:rsid w:val="207D68CF"/>
    <w:rsid w:val="27AD0C22"/>
    <w:rsid w:val="2B7D3A69"/>
    <w:rsid w:val="2FCD4A51"/>
    <w:rsid w:val="3103697D"/>
    <w:rsid w:val="321C2B97"/>
    <w:rsid w:val="37666036"/>
    <w:rsid w:val="3E060C40"/>
    <w:rsid w:val="3E606875"/>
    <w:rsid w:val="45123635"/>
    <w:rsid w:val="49351245"/>
    <w:rsid w:val="4BE43B2A"/>
    <w:rsid w:val="4E523A78"/>
    <w:rsid w:val="4F0F2539"/>
    <w:rsid w:val="4F2204BE"/>
    <w:rsid w:val="53F45CF5"/>
    <w:rsid w:val="56ED13B1"/>
    <w:rsid w:val="578C2978"/>
    <w:rsid w:val="613B6286"/>
    <w:rsid w:val="62975EEA"/>
    <w:rsid w:val="6481138B"/>
    <w:rsid w:val="64946B5E"/>
    <w:rsid w:val="654A79B3"/>
    <w:rsid w:val="6736645D"/>
    <w:rsid w:val="6D3B37F8"/>
    <w:rsid w:val="6E3C24F4"/>
    <w:rsid w:val="71EB08C4"/>
    <w:rsid w:val="72A44BC2"/>
    <w:rsid w:val="75615203"/>
    <w:rsid w:val="77466572"/>
    <w:rsid w:val="783061DC"/>
    <w:rsid w:val="78762B5D"/>
    <w:rsid w:val="7A9419C0"/>
    <w:rsid w:val="7A951295"/>
    <w:rsid w:val="7C15268D"/>
    <w:rsid w:val="7E25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napToGrid w:val="0"/>
      <w:color w:val="000000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emf"/><Relationship Id="rId8" Type="http://schemas.openxmlformats.org/officeDocument/2006/relationships/image" Target="media/image4.emf"/><Relationship Id="rId7" Type="http://schemas.openxmlformats.org/officeDocument/2006/relationships/image" Target="media/image3.emf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customXml" Target="../customXml/item1.xml"/><Relationship Id="rId15" Type="http://schemas.openxmlformats.org/officeDocument/2006/relationships/image" Target="media/image11.emf"/><Relationship Id="rId14" Type="http://schemas.openxmlformats.org/officeDocument/2006/relationships/image" Target="media/image10.emf"/><Relationship Id="rId13" Type="http://schemas.openxmlformats.org/officeDocument/2006/relationships/image" Target="media/image9.emf"/><Relationship Id="rId12" Type="http://schemas.openxmlformats.org/officeDocument/2006/relationships/image" Target="media/image8.emf"/><Relationship Id="rId11" Type="http://schemas.openxmlformats.org/officeDocument/2006/relationships/image" Target="media/image7.emf"/><Relationship Id="rId10" Type="http://schemas.openxmlformats.org/officeDocument/2006/relationships/image" Target="media/image6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545DBA-188A-4E71-ADC4-80DB46AD98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Windows 10</Company>
  <Pages>20</Pages>
  <Words>2896</Words>
  <Characters>3220</Characters>
  <Lines>23</Lines>
  <Paragraphs>6</Paragraphs>
  <TotalTime>5</TotalTime>
  <ScaleCrop>false</ScaleCrop>
  <LinksUpToDate>false</LinksUpToDate>
  <CharactersWithSpaces>3398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2023-05-25T01:39:00Z</dcterms:created>
  <dc:creator>Administrator</dc:creator>
  <cp:lastModifiedBy>曾经沧海</cp:lastModifiedBy>
  <dcterms:modified xsi:type="dcterms:W3CDTF">2023-07-10T08:44:15Z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2023-05-24T17:04:31Z</vt:filetime>
  </property>
  <property fmtid="{D5CDD505-2E9C-101B-9397-08002B2CF9AE}" pid="4" name="KSOProductBuildVer">
    <vt:lpwstr>2052-11.1.0.14309</vt:lpwstr>
  </property>
  <property fmtid="{D5CDD505-2E9C-101B-9397-08002B2CF9AE}" pid="5" name="ICV">
    <vt:lpwstr>3C7123E8700342A7B1D4EF9CF7AD5574_13</vt:lpwstr>
  </property>
</Properties>
</file>