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2022年</w:t>
      </w:r>
      <w:r>
        <w:rPr>
          <w:rFonts w:hint="eastAsia" w:ascii="Times New Roman" w:hAnsi="Times New Roman" w:eastAsia="方正小标宋简体"/>
          <w:sz w:val="44"/>
          <w:szCs w:val="44"/>
        </w:rPr>
        <w:t>伊川县粮食和物资储备中心</w:t>
      </w:r>
    </w:p>
    <w:p>
      <w:pPr>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部门预算说明</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目 录</w:t>
      </w:r>
    </w:p>
    <w:p>
      <w:pPr>
        <w:kinsoku w:val="0"/>
        <w:overflowPunct w:val="0"/>
        <w:adjustRightInd w:val="0"/>
        <w:snapToGrid w:val="0"/>
        <w:spacing w:line="600" w:lineRule="exact"/>
        <w:ind w:firstLine="640" w:firstLineChars="200"/>
        <w:rPr>
          <w:rFonts w:ascii="Times New Roman" w:hAnsi="Times New Roman" w:eastAsia="黑体"/>
          <w:w w:val="99"/>
          <w:sz w:val="32"/>
          <w:szCs w:val="32"/>
        </w:rPr>
      </w:pPr>
      <w:r>
        <w:rPr>
          <w:rFonts w:ascii="Times New Roman" w:hAnsi="Times New Roman" w:eastAsia="黑体"/>
          <w:sz w:val="32"/>
          <w:szCs w:val="32"/>
        </w:rPr>
        <w:t xml:space="preserve">第一部分 </w:t>
      </w:r>
      <w:r>
        <w:rPr>
          <w:rFonts w:hint="eastAsia" w:ascii="Times New Roman" w:hAnsi="Times New Roman" w:eastAsia="黑体"/>
          <w:sz w:val="32"/>
          <w:szCs w:val="32"/>
        </w:rPr>
        <w:t>伊川县粮食和物资储备中心</w:t>
      </w:r>
      <w:r>
        <w:rPr>
          <w:rFonts w:ascii="Times New Roman" w:hAnsi="Times New Roman" w:eastAsia="黑体"/>
          <w:sz w:val="32"/>
          <w:szCs w:val="32"/>
        </w:rPr>
        <w:t>概况</w:t>
      </w:r>
    </w:p>
    <w:p>
      <w:pPr>
        <w:kinsoku w:val="0"/>
        <w:overflowPunct w:val="0"/>
        <w:adjustRightInd w:val="0"/>
        <w:snapToGrid w:val="0"/>
        <w:spacing w:line="600" w:lineRule="exact"/>
        <w:ind w:right="24" w:firstLine="960" w:firstLineChars="300"/>
        <w:jc w:val="left"/>
        <w:rPr>
          <w:rFonts w:ascii="Times New Roman" w:hAnsi="Times New Roman" w:eastAsia="仿宋_GB2312"/>
          <w:sz w:val="32"/>
          <w:szCs w:val="32"/>
        </w:rPr>
      </w:pPr>
      <w:r>
        <w:rPr>
          <w:rFonts w:ascii="Times New Roman" w:hAnsi="Times New Roman" w:eastAsia="仿宋_GB2312"/>
          <w:sz w:val="32"/>
          <w:szCs w:val="32"/>
        </w:rPr>
        <w:t>一、主要职责</w:t>
      </w:r>
    </w:p>
    <w:p>
      <w:pPr>
        <w:kinsoku w:val="0"/>
        <w:overflowPunct w:val="0"/>
        <w:adjustRightInd w:val="0"/>
        <w:snapToGrid w:val="0"/>
        <w:spacing w:line="600" w:lineRule="exact"/>
        <w:ind w:right="112" w:firstLine="960" w:firstLineChars="300"/>
        <w:jc w:val="left"/>
        <w:rPr>
          <w:rFonts w:ascii="Times New Roman" w:hAnsi="Times New Roman" w:eastAsia="仿宋_GB2312"/>
          <w:sz w:val="32"/>
          <w:szCs w:val="32"/>
        </w:rPr>
      </w:pPr>
      <w:r>
        <w:rPr>
          <w:rFonts w:ascii="Times New Roman" w:hAnsi="Times New Roman" w:eastAsia="仿宋_GB2312"/>
          <w:sz w:val="32"/>
          <w:szCs w:val="32"/>
        </w:rPr>
        <w:t>二、部门所属预算单位构成情况</w:t>
      </w:r>
    </w:p>
    <w:p>
      <w:pPr>
        <w:kinsoku w:val="0"/>
        <w:overflowPunct w:val="0"/>
        <w:adjustRightInd w:val="0"/>
        <w:snapToGrid w:val="0"/>
        <w:spacing w:line="600" w:lineRule="exact"/>
        <w:ind w:right="521" w:firstLine="640" w:firstLineChars="200"/>
        <w:rPr>
          <w:rFonts w:ascii="Times New Roman" w:hAnsi="Times New Roman" w:eastAsia="黑体"/>
          <w:w w:val="99"/>
          <w:sz w:val="32"/>
          <w:szCs w:val="32"/>
        </w:rPr>
      </w:pPr>
      <w:r>
        <w:rPr>
          <w:rFonts w:ascii="Times New Roman" w:hAnsi="Times New Roman" w:eastAsia="黑体"/>
          <w:sz w:val="32"/>
          <w:szCs w:val="32"/>
        </w:rPr>
        <w:t>第二部分 2022年</w:t>
      </w:r>
      <w:r>
        <w:rPr>
          <w:rFonts w:hint="eastAsia" w:ascii="Times New Roman" w:hAnsi="Times New Roman" w:eastAsia="黑体"/>
          <w:sz w:val="32"/>
          <w:szCs w:val="32"/>
        </w:rPr>
        <w:t>伊川县粮食和物资储备中心</w:t>
      </w:r>
      <w:r>
        <w:rPr>
          <w:rFonts w:ascii="Times New Roman" w:hAnsi="Times New Roman" w:eastAsia="黑体"/>
          <w:sz w:val="32"/>
          <w:szCs w:val="32"/>
        </w:rPr>
        <w:t>部门预算情况说明</w:t>
      </w:r>
    </w:p>
    <w:p>
      <w:pPr>
        <w:kinsoku w:val="0"/>
        <w:overflowPunct w:val="0"/>
        <w:adjustRightInd w:val="0"/>
        <w:snapToGrid w:val="0"/>
        <w:spacing w:line="600" w:lineRule="exact"/>
        <w:ind w:right="521" w:firstLine="640" w:firstLineChars="200"/>
        <w:rPr>
          <w:rFonts w:ascii="Times New Roman" w:hAnsi="Times New Roman" w:eastAsia="黑体"/>
          <w:sz w:val="32"/>
          <w:szCs w:val="32"/>
        </w:rPr>
      </w:pPr>
      <w:r>
        <w:rPr>
          <w:rFonts w:ascii="Times New Roman" w:hAnsi="Times New Roman" w:eastAsia="黑体"/>
          <w:sz w:val="32"/>
          <w:szCs w:val="32"/>
        </w:rPr>
        <w:t>第三部分</w:t>
      </w:r>
      <w:r>
        <w:rPr>
          <w:rFonts w:ascii="Times New Roman" w:hAnsi="Times New Roman" w:eastAsia="黑体"/>
          <w:spacing w:val="-32"/>
          <w:sz w:val="32"/>
          <w:szCs w:val="32"/>
        </w:rPr>
        <w:t xml:space="preserve"> </w:t>
      </w:r>
      <w:r>
        <w:rPr>
          <w:rFonts w:ascii="Times New Roman" w:hAnsi="Times New Roman" w:eastAsia="黑体"/>
          <w:sz w:val="32"/>
          <w:szCs w:val="32"/>
        </w:rPr>
        <w:t>名词解释</w:t>
      </w:r>
    </w:p>
    <w:p>
      <w:pPr>
        <w:kinsoku w:val="0"/>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附件：2022年</w:t>
      </w:r>
      <w:r>
        <w:rPr>
          <w:rFonts w:hint="eastAsia" w:ascii="Times New Roman" w:hAnsi="Times New Roman" w:eastAsia="黑体"/>
          <w:sz w:val="32"/>
          <w:szCs w:val="32"/>
        </w:rPr>
        <w:t>伊川县粮食和物资储备中心</w:t>
      </w:r>
      <w:r>
        <w:rPr>
          <w:rFonts w:ascii="Times New Roman" w:hAnsi="Times New Roman" w:eastAsia="黑体"/>
          <w:sz w:val="32"/>
          <w:szCs w:val="32"/>
        </w:rPr>
        <w:t>部门预算表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一、部门收支预算表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二、部门收入预算表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三、部门支出预算表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四、财政拨款收支预算表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五、一般公共预算支出预算表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六、一般公共预算基本支出预算表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七、支出经济分类汇总表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八、一般公共预算“三公”经费预算表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九、政府性基金预算支出预算表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十、国有资本经营预算支出预算表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十一、项目支出预算表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十二、部门</w:t>
      </w:r>
      <w:r>
        <w:rPr>
          <w:rFonts w:hint="eastAsia" w:ascii="Times New Roman" w:hAnsi="Times New Roman" w:eastAsia="仿宋_GB2312"/>
          <w:sz w:val="32"/>
          <w:szCs w:val="32"/>
        </w:rPr>
        <w:t>（单位）</w:t>
      </w:r>
      <w:r>
        <w:rPr>
          <w:rFonts w:ascii="Times New Roman" w:hAnsi="Times New Roman" w:eastAsia="仿宋_GB2312"/>
          <w:sz w:val="32"/>
          <w:szCs w:val="32"/>
        </w:rPr>
        <w:t>整体绩效目标表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十三、部门预算项目绩效目标表</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第一部分</w:t>
      </w:r>
    </w:p>
    <w:p>
      <w:pPr>
        <w:overflowPunct w:val="0"/>
        <w:adjustRightInd w:val="0"/>
        <w:snapToGrid w:val="0"/>
        <w:spacing w:line="600" w:lineRule="exact"/>
        <w:jc w:val="center"/>
        <w:rPr>
          <w:rFonts w:ascii="Times New Roman" w:hAnsi="Times New Roman"/>
          <w:b/>
          <w:bCs/>
          <w:sz w:val="32"/>
          <w:szCs w:val="32"/>
        </w:rPr>
      </w:pPr>
      <w:r>
        <w:rPr>
          <w:rFonts w:hint="eastAsia" w:ascii="Times New Roman" w:hAnsi="Times New Roman"/>
          <w:b/>
          <w:bCs/>
          <w:sz w:val="32"/>
          <w:szCs w:val="32"/>
        </w:rPr>
        <w:t>伊川县粮食和物资储备中心</w:t>
      </w:r>
      <w:r>
        <w:rPr>
          <w:rFonts w:ascii="Times New Roman" w:hAnsi="Times New Roman"/>
          <w:b/>
          <w:bCs/>
          <w:sz w:val="32"/>
          <w:szCs w:val="32"/>
        </w:rPr>
        <w:t>概况</w:t>
      </w:r>
    </w:p>
    <w:p>
      <w:pPr>
        <w:overflowPunct w:val="0"/>
        <w:adjustRightInd w:val="0"/>
        <w:snapToGrid w:val="0"/>
        <w:spacing w:line="600" w:lineRule="exact"/>
        <w:jc w:val="center"/>
        <w:rPr>
          <w:rFonts w:ascii="Times New Roman" w:hAnsi="Times New Roman"/>
          <w:b/>
          <w:bCs/>
          <w:sz w:val="32"/>
          <w:szCs w:val="32"/>
        </w:rPr>
      </w:pPr>
    </w:p>
    <w:p>
      <w:pPr>
        <w:numPr>
          <w:ilvl w:val="0"/>
          <w:numId w:val="1"/>
        </w:num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主要职责</w:t>
      </w:r>
    </w:p>
    <w:p>
      <w:pPr>
        <w:spacing w:beforeLines="50" w:line="560" w:lineRule="exact"/>
        <w:ind w:firstLine="320" w:firstLineChars="100"/>
        <w:rPr>
          <w:rFonts w:ascii="仿宋_GB2312" w:hAnsi="仿宋_GB2312" w:eastAsia="仿宋_GB2312" w:cs="仿宋_GB2312"/>
          <w:sz w:val="32"/>
          <w:szCs w:val="32"/>
        </w:rPr>
      </w:pPr>
      <w:r>
        <w:rPr>
          <w:rFonts w:hint="eastAsia" w:ascii="Times New Roman" w:hAnsi="Times New Roman" w:eastAsia="黑体"/>
          <w:sz w:val="32"/>
          <w:szCs w:val="32"/>
        </w:rPr>
        <w:t xml:space="preserve">  </w:t>
      </w:r>
      <w:r>
        <w:rPr>
          <w:rFonts w:hint="eastAsia" w:ascii="仿宋_GB2312" w:hAnsi="仿宋_GB2312" w:eastAsia="仿宋_GB2312" w:cs="仿宋_GB2312"/>
          <w:sz w:val="32"/>
          <w:szCs w:val="32"/>
        </w:rPr>
        <w:t>伊川县粮食和物资储备中心为县政府直属公益一类事业单位，归口县发展和改革委员会管理，机构规格相当于正科级，主管全县粮食流通与储备的管理工作。</w:t>
      </w:r>
    </w:p>
    <w:p>
      <w:pPr>
        <w:spacing w:beforeLines="50"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县粮食和物资储备中心的主要职责是：</w:t>
      </w:r>
    </w:p>
    <w:p>
      <w:pPr>
        <w:numPr>
          <w:ilvl w:val="0"/>
          <w:numId w:val="2"/>
        </w:numPr>
        <w:spacing w:beforeLines="50" w:line="560" w:lineRule="exact"/>
        <w:ind w:left="-1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国家粮食流通和粮油储备、物资储备的法律、法规和方针、政策，落实市、县人民政府有关粮食和物资储备工作部署、计划和措施，做好粮食流通体制和物资储备体制改革工作，确保社会粮食需求总量基本平衡，保障全县粮食和物资储备安全，推动粮食和物资储备事业巩固提升。</w:t>
      </w:r>
    </w:p>
    <w:p>
      <w:pPr>
        <w:numPr>
          <w:ilvl w:val="0"/>
          <w:numId w:val="2"/>
        </w:numPr>
        <w:ind w:left="-1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会同县发部门、县应急管理部门提出县级战略和应急物资储备体系建设总体发展规划、储备品种目录及购销计划，落实有关动用计划和指令；承担县级生活类救灾物资和重要消费品（棉花、食糖、食用油等）的储备管理工作。</w:t>
      </w:r>
    </w:p>
    <w:p>
      <w:pPr>
        <w:numPr>
          <w:ilvl w:val="0"/>
          <w:numId w:val="2"/>
        </w:numPr>
        <w:ind w:left="-10"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负责落实国家粮食质量标准，执行国家粮食收购市场准入标准，指导协调政策性粮食购销和粮食产销合作；参与全县粮食流通、粮食库存、物资储备等各项制度的监督检查工作。</w:t>
      </w:r>
    </w:p>
    <w:p>
      <w:pPr>
        <w:numPr>
          <w:ilvl w:val="0"/>
          <w:numId w:val="2"/>
        </w:numPr>
        <w:spacing w:beforeLines="50" w:line="560" w:lineRule="exact"/>
        <w:ind w:left="-1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提出动用县级储备粮食和储备物资的建议，按照组织程序实施县级储备粮食和储备物资的收购、销售、储存、轮换和日常管理。</w:t>
      </w:r>
    </w:p>
    <w:p>
      <w:pPr>
        <w:numPr>
          <w:ilvl w:val="0"/>
          <w:numId w:val="2"/>
        </w:numPr>
        <w:spacing w:beforeLines="50" w:line="560" w:lineRule="exact"/>
        <w:ind w:left="-1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粮食流通设施、物资储备设施县级投资项目的建设与管理；负责粮食和物资储备有关科技创新、技术改造、信息化建设等工作；负责全县粮食行业安全生产、教育培训、协助指导粮食行业安全生产和物资储备储存安全工作；开展粮食质量检验检测和调查，收集、报送粮食质量安全信息。</w:t>
      </w:r>
    </w:p>
    <w:p>
      <w:pPr>
        <w:numPr>
          <w:ilvl w:val="0"/>
          <w:numId w:val="2"/>
        </w:numPr>
        <w:spacing w:beforeLines="50" w:line="560" w:lineRule="exact"/>
        <w:ind w:left="-1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突发公共事件的应急管理工作，协助承担全县粮食市场检测预警和应急责任，制定完善突发公共事件应急预案；承担县级粮食和物资储备承储单位安全生产的监管责任；配合县发改委做好年度县长粮食安全责任制考核工作。</w:t>
      </w:r>
    </w:p>
    <w:p>
      <w:pPr>
        <w:numPr>
          <w:ilvl w:val="0"/>
          <w:numId w:val="2"/>
        </w:numPr>
        <w:spacing w:beforeLines="50" w:line="560" w:lineRule="exact"/>
        <w:ind w:left="-1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负责全县粮食和物资储备统计以及社会粮食统计工作；做好粮食和物资储备中心的财务核算、国有资产日常管理工作。</w:t>
      </w:r>
    </w:p>
    <w:p>
      <w:pPr>
        <w:numPr>
          <w:ilvl w:val="0"/>
          <w:numId w:val="2"/>
        </w:numPr>
        <w:spacing w:beforeLines="50" w:line="560" w:lineRule="exact"/>
        <w:ind w:left="-1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完成县委、县政府及上级粮食和物资储备部门交办授权的其他工作。</w:t>
      </w:r>
    </w:p>
    <w:p>
      <w:pPr>
        <w:overflowPunct w:val="0"/>
        <w:adjustRightInd w:val="0"/>
        <w:snapToGrid w:val="0"/>
        <w:spacing w:line="600" w:lineRule="exact"/>
        <w:ind w:left="630"/>
        <w:rPr>
          <w:rFonts w:ascii="Times New Roman" w:hAnsi="Times New Roman" w:eastAsia="仿宋_GB2312"/>
          <w:sz w:val="32"/>
          <w:szCs w:val="32"/>
        </w:rPr>
      </w:pPr>
    </w:p>
    <w:p>
      <w:pPr>
        <w:overflowPunct w:val="0"/>
        <w:adjustRightInd w:val="0"/>
        <w:snapToGrid w:val="0"/>
        <w:spacing w:line="600" w:lineRule="exact"/>
        <w:ind w:left="420" w:leftChars="200" w:firstLine="320" w:firstLineChars="100"/>
        <w:rPr>
          <w:rFonts w:ascii="Times New Roman" w:hAnsi="Times New Roman" w:eastAsia="黑体"/>
          <w:spacing w:val="-1"/>
          <w:kern w:val="0"/>
          <w:sz w:val="32"/>
          <w:szCs w:val="32"/>
        </w:rPr>
      </w:pPr>
      <w:r>
        <w:rPr>
          <w:rFonts w:ascii="Times New Roman" w:hAnsi="Times New Roman" w:eastAsia="黑体"/>
          <w:sz w:val="32"/>
          <w:szCs w:val="32"/>
        </w:rPr>
        <w:t>二、</w:t>
      </w:r>
      <w:r>
        <w:rPr>
          <w:rFonts w:hint="eastAsia" w:ascii="Times New Roman" w:hAnsi="Times New Roman" w:eastAsia="黑体"/>
          <w:sz w:val="32"/>
          <w:szCs w:val="32"/>
        </w:rPr>
        <w:t>伊川县粮食和物资储备中心预算单位构成</w:t>
      </w:r>
    </w:p>
    <w:p>
      <w:pPr>
        <w:overflowPunct w:val="0"/>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伊川县粮食和物资储备中心部门预算包括局机关本级预算和所属单位预算在内的汇总预算。</w:t>
      </w:r>
    </w:p>
    <w:p>
      <w:pPr>
        <w:overflowPunct w:val="0"/>
        <w:adjustRightInd w:val="0"/>
        <w:snapToGrid w:val="0"/>
        <w:spacing w:line="600" w:lineRule="exact"/>
        <w:ind w:firstLine="636" w:firstLineChars="200"/>
        <w:rPr>
          <w:rFonts w:ascii="Times New Roman" w:hAnsi="Times New Roman" w:eastAsia="仿宋_GB2312"/>
          <w:spacing w:val="-1"/>
          <w:kern w:val="0"/>
          <w:sz w:val="32"/>
          <w:szCs w:val="32"/>
        </w:rPr>
      </w:pPr>
      <w:r>
        <w:rPr>
          <w:rFonts w:hint="eastAsia" w:ascii="Times New Roman" w:hAnsi="Times New Roman" w:eastAsia="仿宋_GB2312"/>
          <w:spacing w:val="-1"/>
          <w:kern w:val="0"/>
          <w:sz w:val="32"/>
          <w:szCs w:val="32"/>
        </w:rPr>
        <w:t>伊川县粮食和物资储备中心机关包括本机</w:t>
      </w:r>
      <w:r>
        <w:rPr>
          <w:rFonts w:ascii="Times New Roman" w:hAnsi="Times New Roman" w:eastAsia="仿宋_GB2312"/>
          <w:spacing w:val="-1"/>
          <w:kern w:val="0"/>
          <w:sz w:val="32"/>
          <w:szCs w:val="32"/>
        </w:rPr>
        <w:t>预算</w:t>
      </w:r>
      <w:r>
        <w:rPr>
          <w:rFonts w:hint="eastAsia" w:ascii="Times New Roman" w:hAnsi="Times New Roman" w:eastAsia="仿宋_GB2312"/>
          <w:spacing w:val="-1"/>
          <w:kern w:val="0"/>
          <w:sz w:val="32"/>
          <w:szCs w:val="32"/>
        </w:rPr>
        <w:t>包括：</w:t>
      </w:r>
      <w:r>
        <w:rPr>
          <w:rFonts w:hint="eastAsia" w:ascii="仿宋_GB2312" w:hAnsi="仿宋_GB2312" w:eastAsia="仿宋_GB2312" w:cs="仿宋_GB2312"/>
          <w:color w:val="000000"/>
          <w:sz w:val="32"/>
          <w:szCs w:val="32"/>
        </w:rPr>
        <w:t>办公室、人事财务股、粮食和物资储备股、党建办公室、执法监督股的预算</w:t>
      </w:r>
      <w:r>
        <w:rPr>
          <w:rFonts w:ascii="Times New Roman" w:hAnsi="Times New Roman" w:eastAsia="仿宋_GB2312"/>
          <w:spacing w:val="-1"/>
          <w:kern w:val="0"/>
          <w:sz w:val="32"/>
          <w:szCs w:val="32"/>
        </w:rPr>
        <w:t>。</w:t>
      </w:r>
    </w:p>
    <w:p>
      <w:pPr>
        <w:overflowPunct w:val="0"/>
        <w:adjustRightInd w:val="0"/>
        <w:snapToGrid w:val="0"/>
        <w:spacing w:line="600" w:lineRule="exact"/>
        <w:jc w:val="center"/>
        <w:rPr>
          <w:rFonts w:ascii="Times New Roman" w:hAnsi="Times New Roman" w:eastAsia="仿宋_GB2312"/>
          <w:spacing w:val="-1"/>
          <w:kern w:val="0"/>
          <w:sz w:val="32"/>
          <w:szCs w:val="32"/>
        </w:rPr>
      </w:pPr>
      <w:r>
        <w:rPr>
          <w:rFonts w:hint="eastAsia" w:ascii="Times New Roman" w:hAnsi="Times New Roman" w:eastAsia="仿宋_GB2312"/>
          <w:spacing w:val="-1"/>
          <w:kern w:val="0"/>
          <w:sz w:val="32"/>
          <w:szCs w:val="32"/>
        </w:rPr>
        <w:t>伊川县粮食和物资储备中心所属单位预算包括：无。</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第二部分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2022年</w:t>
      </w:r>
      <w:r>
        <w:rPr>
          <w:rFonts w:hint="eastAsia" w:ascii="Times New Roman" w:hAnsi="Times New Roman"/>
          <w:b/>
          <w:bCs/>
          <w:sz w:val="32"/>
          <w:szCs w:val="32"/>
        </w:rPr>
        <w:t>伊川县粮食和物资储备中心</w:t>
      </w:r>
      <w:r>
        <w:rPr>
          <w:rFonts w:ascii="Times New Roman" w:hAnsi="Times New Roman"/>
          <w:b/>
          <w:bCs/>
          <w:sz w:val="32"/>
          <w:szCs w:val="32"/>
        </w:rPr>
        <w:t>部门预算情况说明</w:t>
      </w: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overflowPunct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2022年收入总计</w:t>
      </w:r>
      <w:r>
        <w:rPr>
          <w:rFonts w:hint="eastAsia" w:ascii="Times New Roman" w:hAnsi="Times New Roman" w:eastAsia="仿宋_GB2312"/>
          <w:sz w:val="32"/>
          <w:szCs w:val="32"/>
        </w:rPr>
        <w:t>1570.63</w:t>
      </w:r>
      <w:r>
        <w:rPr>
          <w:rFonts w:ascii="Times New Roman" w:hAnsi="Times New Roman" w:eastAsia="仿宋_GB2312"/>
          <w:sz w:val="32"/>
          <w:szCs w:val="32"/>
        </w:rPr>
        <w:t>万元，支出总计</w:t>
      </w:r>
      <w:r>
        <w:rPr>
          <w:rFonts w:hint="eastAsia" w:ascii="Times New Roman" w:hAnsi="Times New Roman" w:eastAsia="仿宋_GB2312"/>
          <w:sz w:val="32"/>
          <w:szCs w:val="32"/>
        </w:rPr>
        <w:t>1570.63</w:t>
      </w:r>
      <w:r>
        <w:rPr>
          <w:rFonts w:ascii="Times New Roman" w:hAnsi="Times New Roman" w:eastAsia="仿宋_GB2312"/>
          <w:sz w:val="32"/>
          <w:szCs w:val="32"/>
        </w:rPr>
        <w:t>万元，与2021年预算相比，收入增加</w:t>
      </w:r>
      <w:r>
        <w:rPr>
          <w:rFonts w:hint="eastAsia" w:ascii="Times New Roman" w:hAnsi="Times New Roman" w:eastAsia="仿宋_GB2312"/>
          <w:sz w:val="32"/>
          <w:szCs w:val="32"/>
        </w:rPr>
        <w:t>1434.88</w:t>
      </w:r>
      <w:r>
        <w:rPr>
          <w:rFonts w:ascii="Times New Roman" w:hAnsi="Times New Roman" w:eastAsia="仿宋_GB2312"/>
          <w:sz w:val="32"/>
          <w:szCs w:val="32"/>
        </w:rPr>
        <w:t>万元，增长</w:t>
      </w:r>
      <w:r>
        <w:rPr>
          <w:rFonts w:hint="eastAsia" w:ascii="Times New Roman" w:hAnsi="Times New Roman" w:eastAsia="仿宋_GB2312"/>
          <w:sz w:val="32"/>
          <w:szCs w:val="32"/>
        </w:rPr>
        <w:t>1057.00</w:t>
      </w:r>
      <w:r>
        <w:rPr>
          <w:rFonts w:ascii="Times New Roman" w:hAnsi="Times New Roman" w:eastAsia="仿宋_GB2312"/>
          <w:sz w:val="32"/>
          <w:szCs w:val="32"/>
        </w:rPr>
        <w:t>%。主要原因：</w:t>
      </w:r>
      <w:r>
        <w:rPr>
          <w:rFonts w:hint="eastAsia" w:ascii="Times New Roman" w:hAnsi="Times New Roman" w:eastAsia="仿宋_GB2312"/>
          <w:sz w:val="32"/>
          <w:szCs w:val="32"/>
        </w:rPr>
        <w:t>是上年结转结余一般公共预算448万元，本年度一般公共预算收入增加986.88万元所致；</w:t>
      </w:r>
      <w:r>
        <w:rPr>
          <w:rFonts w:ascii="Times New Roman" w:hAnsi="Times New Roman" w:eastAsia="仿宋_GB2312"/>
          <w:sz w:val="32"/>
          <w:szCs w:val="32"/>
        </w:rPr>
        <w:t>支出增加</w:t>
      </w:r>
      <w:r>
        <w:rPr>
          <w:rFonts w:hint="eastAsia" w:ascii="Times New Roman" w:hAnsi="Times New Roman" w:eastAsia="仿宋_GB2312"/>
          <w:sz w:val="32"/>
          <w:szCs w:val="32"/>
        </w:rPr>
        <w:t>1434.88</w:t>
      </w:r>
      <w:r>
        <w:rPr>
          <w:rFonts w:ascii="Times New Roman" w:hAnsi="Times New Roman" w:eastAsia="仿宋_GB2312"/>
          <w:sz w:val="32"/>
          <w:szCs w:val="32"/>
        </w:rPr>
        <w:t>万元，增长</w:t>
      </w:r>
      <w:r>
        <w:rPr>
          <w:rFonts w:hint="eastAsia" w:ascii="Times New Roman" w:hAnsi="Times New Roman" w:eastAsia="仿宋_GB2312"/>
          <w:sz w:val="32"/>
          <w:szCs w:val="32"/>
        </w:rPr>
        <w:t>1057.00</w:t>
      </w:r>
      <w:r>
        <w:rPr>
          <w:rFonts w:ascii="Times New Roman" w:hAnsi="Times New Roman" w:eastAsia="仿宋_GB2312"/>
          <w:sz w:val="32"/>
          <w:szCs w:val="32"/>
        </w:rPr>
        <w:t>%。主要原因：</w:t>
      </w:r>
      <w:r>
        <w:rPr>
          <w:rFonts w:hint="eastAsia" w:ascii="Times New Roman" w:hAnsi="Times New Roman" w:eastAsia="仿宋_GB2312"/>
          <w:sz w:val="32"/>
          <w:szCs w:val="32"/>
        </w:rPr>
        <w:t>基本支出增加68.88万元，其他运转类项目支出增加1366万元</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2022年收入合计</w:t>
      </w:r>
      <w:r>
        <w:rPr>
          <w:rFonts w:hint="eastAsia" w:ascii="Times New Roman" w:hAnsi="Times New Roman" w:eastAsia="仿宋_GB2312"/>
          <w:sz w:val="32"/>
          <w:szCs w:val="32"/>
        </w:rPr>
        <w:t>1570.63</w:t>
      </w:r>
      <w:r>
        <w:rPr>
          <w:rFonts w:ascii="Times New Roman" w:hAnsi="Times New Roman" w:eastAsia="仿宋_GB2312"/>
          <w:sz w:val="32"/>
          <w:szCs w:val="32"/>
        </w:rPr>
        <w:t>万元，其中：一般公共预算</w:t>
      </w:r>
      <w:r>
        <w:rPr>
          <w:rFonts w:hint="eastAsia" w:ascii="Times New Roman" w:hAnsi="Times New Roman" w:eastAsia="仿宋_GB2312"/>
          <w:sz w:val="32"/>
          <w:szCs w:val="32"/>
        </w:rPr>
        <w:t>1122.63</w:t>
      </w:r>
      <w:r>
        <w:rPr>
          <w:rFonts w:ascii="Times New Roman" w:hAnsi="Times New Roman" w:eastAsia="仿宋_GB2312"/>
          <w:sz w:val="32"/>
          <w:szCs w:val="32"/>
        </w:rPr>
        <w:t>万元</w:t>
      </w:r>
      <w:r>
        <w:rPr>
          <w:rFonts w:hint="eastAsia" w:ascii="Times New Roman" w:hAnsi="Times New Roman" w:eastAsia="仿宋_GB2312"/>
          <w:sz w:val="32"/>
          <w:szCs w:val="32"/>
        </w:rPr>
        <w:t>；</w:t>
      </w:r>
      <w:r>
        <w:rPr>
          <w:rFonts w:ascii="Times New Roman" w:hAnsi="Times New Roman" w:eastAsia="仿宋_GB2312"/>
          <w:sz w:val="32"/>
          <w:szCs w:val="32"/>
        </w:rPr>
        <w:t>事业收入</w:t>
      </w:r>
      <w:r>
        <w:rPr>
          <w:rFonts w:hint="eastAsia" w:ascii="Times New Roman" w:hAnsi="Times New Roman" w:eastAsia="仿宋_GB2312"/>
          <w:sz w:val="32"/>
          <w:szCs w:val="32"/>
        </w:rPr>
        <w:t>0</w:t>
      </w:r>
      <w:r>
        <w:rPr>
          <w:rFonts w:ascii="Times New Roman" w:hAnsi="Times New Roman" w:eastAsia="仿宋_GB2312"/>
          <w:sz w:val="32"/>
          <w:szCs w:val="32"/>
        </w:rPr>
        <w:t>万元；财政性结转资金</w:t>
      </w:r>
      <w:r>
        <w:rPr>
          <w:rFonts w:hint="eastAsia" w:ascii="Times New Roman" w:hAnsi="Times New Roman" w:eastAsia="仿宋_GB2312"/>
          <w:sz w:val="32"/>
          <w:szCs w:val="32"/>
        </w:rPr>
        <w:t>448</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2022年支出合计</w:t>
      </w:r>
      <w:r>
        <w:rPr>
          <w:rFonts w:hint="eastAsia" w:ascii="Times New Roman" w:hAnsi="Times New Roman" w:eastAsia="仿宋_GB2312"/>
          <w:sz w:val="32"/>
          <w:szCs w:val="32"/>
        </w:rPr>
        <w:t>1570.63</w:t>
      </w:r>
      <w:r>
        <w:rPr>
          <w:rFonts w:ascii="Times New Roman" w:hAnsi="Times New Roman" w:eastAsia="仿宋_GB2312"/>
          <w:sz w:val="32"/>
          <w:szCs w:val="32"/>
        </w:rPr>
        <w:t>万元，其中：基本支出</w:t>
      </w:r>
      <w:r>
        <w:rPr>
          <w:rFonts w:hint="eastAsia" w:ascii="Times New Roman" w:hAnsi="Times New Roman" w:eastAsia="仿宋_GB2312"/>
          <w:sz w:val="32"/>
          <w:szCs w:val="32"/>
        </w:rPr>
        <w:t>181.63</w:t>
      </w:r>
      <w:r>
        <w:rPr>
          <w:rFonts w:ascii="Times New Roman" w:hAnsi="Times New Roman" w:eastAsia="仿宋_GB2312"/>
          <w:sz w:val="32"/>
          <w:szCs w:val="32"/>
        </w:rPr>
        <w:t>万元，占</w:t>
      </w:r>
      <w:r>
        <w:rPr>
          <w:rFonts w:hint="eastAsia" w:ascii="Times New Roman" w:hAnsi="Times New Roman" w:eastAsia="仿宋_GB2312"/>
          <w:sz w:val="32"/>
          <w:szCs w:val="32"/>
        </w:rPr>
        <w:t>11.56</w:t>
      </w:r>
      <w:r>
        <w:rPr>
          <w:rFonts w:ascii="Times New Roman" w:hAnsi="Times New Roman" w:eastAsia="仿宋_GB2312"/>
          <w:sz w:val="32"/>
          <w:szCs w:val="32"/>
        </w:rPr>
        <w:t>%；项目支出</w:t>
      </w:r>
      <w:r>
        <w:rPr>
          <w:rFonts w:hint="eastAsia" w:ascii="Times New Roman" w:hAnsi="Times New Roman" w:eastAsia="仿宋_GB2312"/>
          <w:sz w:val="32"/>
          <w:szCs w:val="32"/>
        </w:rPr>
        <w:t>1389</w:t>
      </w:r>
      <w:r>
        <w:rPr>
          <w:rFonts w:ascii="Times New Roman" w:hAnsi="Times New Roman" w:eastAsia="仿宋_GB2312"/>
          <w:sz w:val="32"/>
          <w:szCs w:val="32"/>
        </w:rPr>
        <w:t>万元，占</w:t>
      </w:r>
      <w:r>
        <w:rPr>
          <w:rFonts w:hint="eastAsia" w:ascii="Times New Roman" w:hAnsi="Times New Roman" w:eastAsia="仿宋_GB2312"/>
          <w:sz w:val="32"/>
          <w:szCs w:val="32"/>
        </w:rPr>
        <w:t>88.44</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2022年一般公共预算收支预算</w:t>
      </w:r>
      <w:r>
        <w:rPr>
          <w:rFonts w:hint="eastAsia" w:ascii="Times New Roman" w:hAnsi="Times New Roman" w:eastAsia="仿宋_GB2312"/>
          <w:sz w:val="32"/>
          <w:szCs w:val="32"/>
        </w:rPr>
        <w:t>1570.63</w:t>
      </w:r>
      <w:r>
        <w:rPr>
          <w:rFonts w:ascii="Times New Roman" w:hAnsi="Times New Roman" w:eastAsia="仿宋_GB2312"/>
          <w:sz w:val="32"/>
          <w:szCs w:val="32"/>
        </w:rPr>
        <w:t>万元，政府性基金收支预算</w:t>
      </w:r>
      <w:r>
        <w:rPr>
          <w:rFonts w:hint="eastAsia" w:ascii="Times New Roman" w:hAnsi="Times New Roman" w:eastAsia="仿宋_GB2312"/>
          <w:sz w:val="32"/>
          <w:szCs w:val="32"/>
        </w:rPr>
        <w:t>0</w:t>
      </w:r>
      <w:r>
        <w:rPr>
          <w:rFonts w:ascii="Times New Roman" w:hAnsi="Times New Roman" w:eastAsia="仿宋_GB2312"/>
          <w:sz w:val="32"/>
          <w:szCs w:val="32"/>
        </w:rPr>
        <w:t>万元。与2021年相比，一般公共预算收支预算增加</w:t>
      </w:r>
      <w:r>
        <w:rPr>
          <w:rFonts w:hint="eastAsia" w:ascii="Times New Roman" w:hAnsi="Times New Roman" w:eastAsia="仿宋_GB2312"/>
          <w:sz w:val="32"/>
          <w:szCs w:val="32"/>
        </w:rPr>
        <w:t>1434.88</w:t>
      </w:r>
      <w:r>
        <w:rPr>
          <w:rFonts w:ascii="Times New Roman" w:hAnsi="Times New Roman" w:eastAsia="仿宋_GB2312"/>
          <w:sz w:val="32"/>
          <w:szCs w:val="32"/>
        </w:rPr>
        <w:t>万元，增长</w:t>
      </w:r>
      <w:r>
        <w:rPr>
          <w:rFonts w:hint="eastAsia" w:ascii="Times New Roman" w:hAnsi="Times New Roman" w:eastAsia="仿宋_GB2312"/>
          <w:sz w:val="32"/>
          <w:szCs w:val="32"/>
        </w:rPr>
        <w:t>1057.00</w:t>
      </w:r>
      <w:r>
        <w:rPr>
          <w:rFonts w:ascii="Times New Roman" w:hAnsi="Times New Roman" w:eastAsia="仿宋_GB2312"/>
          <w:sz w:val="32"/>
          <w:szCs w:val="32"/>
        </w:rPr>
        <w:t>%，主要原因：</w:t>
      </w:r>
      <w:r>
        <w:rPr>
          <w:rFonts w:hint="eastAsia" w:ascii="Times New Roman" w:hAnsi="Times New Roman" w:eastAsia="仿宋_GB2312"/>
          <w:sz w:val="32"/>
          <w:szCs w:val="32"/>
        </w:rPr>
        <w:t>是上年结转结余</w:t>
      </w:r>
      <w:r>
        <w:rPr>
          <w:rFonts w:ascii="Times New Roman" w:hAnsi="Times New Roman" w:eastAsia="仿宋_GB2312"/>
          <w:sz w:val="32"/>
          <w:szCs w:val="32"/>
        </w:rPr>
        <w:t>一般公共预算</w:t>
      </w:r>
      <w:r>
        <w:rPr>
          <w:rFonts w:hint="eastAsia" w:ascii="Times New Roman" w:hAnsi="Times New Roman" w:eastAsia="仿宋_GB2312"/>
          <w:sz w:val="32"/>
          <w:szCs w:val="32"/>
        </w:rPr>
        <w:t>448万元，基本支出增加68.88万元,其他运转类项目支出增加918万元</w:t>
      </w:r>
      <w:r>
        <w:rPr>
          <w:rFonts w:ascii="Times New Roman" w:hAnsi="Times New Roman" w:eastAsia="仿宋_GB2312"/>
          <w:sz w:val="32"/>
          <w:szCs w:val="32"/>
        </w:rPr>
        <w:t>；政府性基金收支预算增加</w:t>
      </w:r>
      <w:r>
        <w:rPr>
          <w:rFonts w:hint="eastAsia" w:ascii="Times New Roman" w:hAnsi="Times New Roman" w:eastAsia="仿宋_GB2312"/>
          <w:sz w:val="32"/>
          <w:szCs w:val="32"/>
        </w:rPr>
        <w:t>0</w:t>
      </w:r>
      <w:r>
        <w:rPr>
          <w:rFonts w:ascii="Times New Roman" w:hAnsi="Times New Roman" w:eastAsia="仿宋_GB2312"/>
          <w:sz w:val="32"/>
          <w:szCs w:val="32"/>
        </w:rPr>
        <w:t>万元，增长</w:t>
      </w:r>
      <w:r>
        <w:rPr>
          <w:rFonts w:hint="eastAsia" w:ascii="Times New Roman" w:hAnsi="Times New Roman" w:eastAsia="仿宋_GB2312"/>
          <w:sz w:val="32"/>
          <w:szCs w:val="32"/>
        </w:rPr>
        <w:t>0</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2022年一般公共预算支出年初预算为</w:t>
      </w:r>
      <w:r>
        <w:rPr>
          <w:rFonts w:hint="eastAsia" w:ascii="Times New Roman" w:hAnsi="Times New Roman" w:eastAsia="仿宋_GB2312"/>
          <w:sz w:val="32"/>
          <w:szCs w:val="32"/>
        </w:rPr>
        <w:t>1570.63</w:t>
      </w:r>
      <w:r>
        <w:rPr>
          <w:rFonts w:ascii="Times New Roman" w:hAnsi="Times New Roman" w:eastAsia="仿宋_GB2312"/>
          <w:sz w:val="32"/>
          <w:szCs w:val="32"/>
        </w:rPr>
        <w:t>万元。其中：基本支出</w:t>
      </w:r>
      <w:r>
        <w:rPr>
          <w:rFonts w:hint="eastAsia" w:ascii="Times New Roman" w:hAnsi="Times New Roman" w:eastAsia="仿宋_GB2312"/>
          <w:sz w:val="32"/>
          <w:szCs w:val="32"/>
        </w:rPr>
        <w:t>181.63</w:t>
      </w:r>
      <w:r>
        <w:rPr>
          <w:rFonts w:ascii="Times New Roman" w:hAnsi="Times New Roman" w:eastAsia="仿宋_GB2312"/>
          <w:sz w:val="32"/>
          <w:szCs w:val="32"/>
        </w:rPr>
        <w:t>万元，占</w:t>
      </w:r>
      <w:r>
        <w:rPr>
          <w:rFonts w:hint="eastAsia" w:ascii="Times New Roman" w:hAnsi="Times New Roman" w:eastAsia="仿宋_GB2312"/>
          <w:sz w:val="32"/>
          <w:szCs w:val="32"/>
        </w:rPr>
        <w:t>11.56</w:t>
      </w:r>
      <w:r>
        <w:rPr>
          <w:rFonts w:ascii="Times New Roman" w:hAnsi="Times New Roman" w:eastAsia="仿宋_GB2312"/>
          <w:sz w:val="32"/>
          <w:szCs w:val="32"/>
        </w:rPr>
        <w:t>%；项目支出</w:t>
      </w:r>
      <w:r>
        <w:rPr>
          <w:rFonts w:hint="eastAsia" w:ascii="Times New Roman" w:hAnsi="Times New Roman" w:eastAsia="仿宋_GB2312"/>
          <w:sz w:val="32"/>
          <w:szCs w:val="32"/>
        </w:rPr>
        <w:t>1389</w:t>
      </w:r>
      <w:r>
        <w:rPr>
          <w:rFonts w:ascii="Times New Roman" w:hAnsi="Times New Roman" w:eastAsia="仿宋_GB2312"/>
          <w:sz w:val="32"/>
          <w:szCs w:val="32"/>
        </w:rPr>
        <w:t>万元，占</w:t>
      </w:r>
      <w:r>
        <w:rPr>
          <w:rFonts w:hint="eastAsia" w:ascii="Times New Roman" w:hAnsi="Times New Roman" w:eastAsia="仿宋_GB2312"/>
          <w:sz w:val="32"/>
          <w:szCs w:val="32"/>
        </w:rPr>
        <w:t>88.44</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rPr>
      </w:pPr>
      <w:r>
        <w:rPr>
          <w:rFonts w:ascii="Times New Roman" w:hAnsi="Times New Roman" w:eastAsia="黑体"/>
          <w:kern w:val="0"/>
          <w:sz w:val="32"/>
          <w:szCs w:val="32"/>
        </w:rPr>
        <w:t>六、</w:t>
      </w:r>
      <w:r>
        <w:rPr>
          <w:rFonts w:ascii="Times New Roman" w:hAnsi="Times New Roman" w:eastAsia="黑体"/>
          <w:sz w:val="32"/>
        </w:rPr>
        <w:t>一般公共预算基本支出预算情况说明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2022年一般公共预算基本支出年初预算为</w:t>
      </w:r>
      <w:r>
        <w:rPr>
          <w:rFonts w:hint="eastAsia" w:ascii="Times New Roman" w:hAnsi="Times New Roman" w:eastAsia="仿宋_GB2312"/>
          <w:sz w:val="32"/>
          <w:szCs w:val="32"/>
        </w:rPr>
        <w:t>181.63</w:t>
      </w:r>
      <w:r>
        <w:rPr>
          <w:rFonts w:ascii="Times New Roman" w:hAnsi="Times New Roman" w:eastAsia="仿宋_GB2312"/>
          <w:sz w:val="32"/>
          <w:szCs w:val="32"/>
        </w:rPr>
        <w:t>万元。其中：人员经费支出</w:t>
      </w:r>
      <w:r>
        <w:rPr>
          <w:rFonts w:hint="eastAsia" w:ascii="Times New Roman" w:hAnsi="Times New Roman" w:eastAsia="仿宋_GB2312"/>
          <w:sz w:val="32"/>
          <w:szCs w:val="32"/>
        </w:rPr>
        <w:t>141.84</w:t>
      </w:r>
      <w:r>
        <w:rPr>
          <w:rFonts w:ascii="Times New Roman" w:hAnsi="Times New Roman" w:eastAsia="仿宋_GB2312"/>
          <w:sz w:val="32"/>
          <w:szCs w:val="32"/>
        </w:rPr>
        <w:t>万元，占</w:t>
      </w:r>
      <w:r>
        <w:rPr>
          <w:rFonts w:hint="eastAsia" w:ascii="Times New Roman" w:hAnsi="Times New Roman" w:eastAsia="仿宋_GB2312"/>
          <w:sz w:val="32"/>
          <w:szCs w:val="32"/>
        </w:rPr>
        <w:t>78.09</w:t>
      </w:r>
      <w:r>
        <w:rPr>
          <w:rFonts w:ascii="Times New Roman" w:hAnsi="Times New Roman" w:eastAsia="仿宋_GB2312"/>
          <w:sz w:val="32"/>
          <w:szCs w:val="32"/>
        </w:rPr>
        <w:t>%；公用经费支出</w:t>
      </w:r>
      <w:r>
        <w:rPr>
          <w:rFonts w:hint="eastAsia" w:ascii="Times New Roman" w:hAnsi="Times New Roman" w:eastAsia="仿宋_GB2312"/>
          <w:sz w:val="32"/>
          <w:szCs w:val="32"/>
        </w:rPr>
        <w:t>39.79</w:t>
      </w:r>
      <w:r>
        <w:rPr>
          <w:rFonts w:ascii="Times New Roman" w:hAnsi="Times New Roman" w:eastAsia="仿宋_GB2312"/>
          <w:sz w:val="32"/>
          <w:szCs w:val="32"/>
        </w:rPr>
        <w:t>万元，占</w:t>
      </w:r>
      <w:r>
        <w:rPr>
          <w:rFonts w:hint="eastAsia" w:ascii="Times New Roman" w:hAnsi="Times New Roman" w:eastAsia="仿宋_GB2312"/>
          <w:sz w:val="32"/>
          <w:szCs w:val="32"/>
        </w:rPr>
        <w:t>21.91</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七、</w:t>
      </w:r>
      <w:r>
        <w:rPr>
          <w:rFonts w:ascii="Times New Roman" w:hAnsi="Times New Roman" w:eastAsia="黑体"/>
          <w:sz w:val="32"/>
        </w:rPr>
        <w:t>一般公共预算</w:t>
      </w:r>
      <w:r>
        <w:rPr>
          <w:rFonts w:ascii="Times New Roman" w:hAnsi="Times New Roman" w:eastAsia="黑体"/>
          <w:kern w:val="0"/>
          <w:sz w:val="32"/>
          <w:szCs w:val="32"/>
        </w:rPr>
        <w:t>“三公”经费支出预算情况说明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2022年“三公”经费支出预算为</w:t>
      </w:r>
      <w:r>
        <w:rPr>
          <w:rFonts w:hint="eastAsia" w:ascii="Times New Roman" w:hAnsi="Times New Roman" w:eastAsia="仿宋_GB2312"/>
          <w:sz w:val="32"/>
          <w:szCs w:val="32"/>
        </w:rPr>
        <w:t>0</w:t>
      </w:r>
      <w:r>
        <w:rPr>
          <w:rFonts w:ascii="Times New Roman" w:hAnsi="Times New Roman" w:eastAsia="仿宋_GB2312"/>
          <w:sz w:val="32"/>
          <w:szCs w:val="32"/>
        </w:rPr>
        <w:t>万元。2022年“三公”经费支出预算数比2021年增加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具体支出情况如下：</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（一）因公出国（境）费</w:t>
      </w:r>
      <w:r>
        <w:rPr>
          <w:rFonts w:ascii="Times New Roman" w:hAnsi="Times New Roman" w:eastAsia="仿宋_GB2312"/>
          <w:sz w:val="32"/>
          <w:szCs w:val="32"/>
        </w:rPr>
        <w:t>0万元</w:t>
      </w:r>
      <w:r>
        <w:rPr>
          <w:rFonts w:ascii="Times New Roman" w:hAnsi="Times New Roman" w:eastAsia="仿宋_GB2312"/>
          <w:spacing w:val="-1"/>
          <w:kern w:val="0"/>
          <w:sz w:val="32"/>
          <w:szCs w:val="32"/>
        </w:rPr>
        <w:t>，</w:t>
      </w:r>
      <w:r>
        <w:rPr>
          <w:rFonts w:ascii="Times New Roman" w:hAnsi="Times New Roman" w:eastAsia="仿宋_GB2312"/>
          <w:sz w:val="32"/>
          <w:szCs w:val="32"/>
        </w:rPr>
        <w:t>主要用于单位工作人员公务出国（境）的住宿费、旅费、伙食补助费、杂费、培训费等支出。预算数与2021年保持一致。</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（二）公务接待费</w:t>
      </w:r>
      <w:r>
        <w:rPr>
          <w:rFonts w:hint="eastAsia" w:ascii="Times New Roman" w:hAnsi="Times New Roman" w:eastAsia="仿宋_GB2312"/>
          <w:sz w:val="32"/>
          <w:szCs w:val="32"/>
        </w:rPr>
        <w:t>0</w:t>
      </w:r>
      <w:r>
        <w:rPr>
          <w:rFonts w:ascii="Times New Roman" w:hAnsi="Times New Roman" w:eastAsia="仿宋_GB2312"/>
          <w:sz w:val="32"/>
          <w:szCs w:val="32"/>
        </w:rPr>
        <w:t>万元，主要用于按规定开支的各类公务接待（含外宾接待）支出。预算数比2021年增加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万元。主要原因：</w:t>
      </w:r>
      <w:r>
        <w:rPr>
          <w:rFonts w:hint="eastAsia" w:ascii="Times New Roman" w:hAnsi="Times New Roman" w:eastAsia="仿宋_GB2312"/>
          <w:sz w:val="32"/>
          <w:szCs w:val="32"/>
        </w:rPr>
        <w:t>伊川县粮食和物资储备中心</w:t>
      </w:r>
      <w:r>
        <w:rPr>
          <w:rFonts w:hint="eastAsia" w:ascii="仿宋_GB2312" w:hAnsi="仿宋_GB2312" w:eastAsia="仿宋_GB2312" w:cs="仿宋_GB2312"/>
          <w:color w:val="000000"/>
          <w:kern w:val="0"/>
          <w:sz w:val="32"/>
          <w:szCs w:val="32"/>
        </w:rPr>
        <w:t>2022年无</w:t>
      </w:r>
      <w:r>
        <w:rPr>
          <w:rFonts w:hint="eastAsia" w:ascii="仿宋_GB2312" w:hAnsi="仿宋_GB2312" w:eastAsia="仿宋_GB2312" w:cs="仿宋_GB2312"/>
          <w:color w:val="000000"/>
          <w:sz w:val="32"/>
          <w:szCs w:val="32"/>
        </w:rPr>
        <w:t>公务接待费预算支出</w:t>
      </w:r>
      <w:r>
        <w:rPr>
          <w:rFonts w:ascii="Times New Roman" w:hAnsi="Times New Roman" w:eastAsia="仿宋_GB2312"/>
          <w:sz w:val="32"/>
          <w:szCs w:val="32"/>
        </w:rPr>
        <w:t>。</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（三）公务用车购置及运行费</w:t>
      </w:r>
      <w:r>
        <w:rPr>
          <w:rFonts w:hint="eastAsia" w:ascii="Times New Roman" w:hAnsi="Times New Roman" w:eastAsia="仿宋_GB2312"/>
          <w:sz w:val="32"/>
          <w:szCs w:val="32"/>
        </w:rPr>
        <w:t>0</w:t>
      </w:r>
      <w:r>
        <w:rPr>
          <w:rFonts w:ascii="Times New Roman" w:hAnsi="Times New Roman" w:eastAsia="仿宋_GB2312"/>
          <w:sz w:val="32"/>
          <w:szCs w:val="32"/>
        </w:rPr>
        <w:t>万元，其中：公务用车购置费</w:t>
      </w:r>
      <w:r>
        <w:rPr>
          <w:rFonts w:hint="eastAsia" w:ascii="Times New Roman" w:hAnsi="Times New Roman" w:eastAsia="仿宋_GB2312"/>
          <w:sz w:val="32"/>
          <w:szCs w:val="32"/>
        </w:rPr>
        <w:t>0</w:t>
      </w:r>
      <w:r>
        <w:rPr>
          <w:rFonts w:ascii="Times New Roman" w:hAnsi="Times New Roman" w:eastAsia="仿宋_GB2312"/>
          <w:sz w:val="32"/>
          <w:szCs w:val="32"/>
        </w:rPr>
        <w:t>万元；公务用车运行维护费</w:t>
      </w:r>
      <w:r>
        <w:rPr>
          <w:rFonts w:hint="eastAsia" w:ascii="Times New Roman" w:hAnsi="Times New Roman" w:eastAsia="仿宋_GB2312"/>
          <w:sz w:val="32"/>
          <w:szCs w:val="32"/>
        </w:rPr>
        <w:t>0</w:t>
      </w:r>
      <w:r>
        <w:rPr>
          <w:rFonts w:ascii="Times New Roman" w:hAnsi="Times New Roman" w:eastAsia="仿宋_GB2312"/>
          <w:sz w:val="32"/>
          <w:szCs w:val="32"/>
        </w:rPr>
        <w:t>万元，主要用于开展工作所需公务用车的燃料费、维修费、过路过桥费、保险费、安全奖励费用等支出。公务用车购置费预算数比2021年</w:t>
      </w:r>
      <w:bookmarkStart w:id="0" w:name="_GoBack"/>
      <w:bookmarkEnd w:id="0"/>
      <w:r>
        <w:rPr>
          <w:rFonts w:ascii="Times New Roman" w:hAnsi="Times New Roman" w:eastAsia="仿宋_GB2312"/>
          <w:sz w:val="32"/>
          <w:szCs w:val="32"/>
        </w:rPr>
        <w:t>增加</w:t>
      </w:r>
      <w:r>
        <w:rPr>
          <w:rFonts w:hint="eastAsia" w:ascii="Times New Roman" w:hAnsi="Times New Roman" w:eastAsia="仿宋_GB2312"/>
          <w:sz w:val="32"/>
          <w:szCs w:val="32"/>
        </w:rPr>
        <w:t>0</w:t>
      </w:r>
      <w:r>
        <w:rPr>
          <w:rFonts w:ascii="Times New Roman" w:hAnsi="Times New Roman" w:eastAsia="仿宋_GB2312"/>
          <w:sz w:val="32"/>
          <w:szCs w:val="32"/>
        </w:rPr>
        <w:t>万元，主要原因：</w:t>
      </w:r>
      <w:r>
        <w:rPr>
          <w:rFonts w:hint="eastAsia" w:ascii="仿宋_GB2312" w:hAnsi="仿宋_GB2312" w:eastAsia="仿宋_GB2312" w:cs="仿宋_GB2312"/>
          <w:color w:val="000000"/>
          <w:kern w:val="0"/>
          <w:sz w:val="32"/>
          <w:szCs w:val="32"/>
        </w:rPr>
        <w:t>我单位2022年无</w:t>
      </w:r>
      <w:r>
        <w:rPr>
          <w:rFonts w:hint="eastAsia" w:ascii="仿宋_GB2312" w:hAnsi="仿宋_GB2312" w:eastAsia="仿宋_GB2312" w:cs="仿宋_GB2312"/>
          <w:color w:val="000000"/>
          <w:sz w:val="32"/>
          <w:szCs w:val="32"/>
        </w:rPr>
        <w:t>公务用车购置费预算支出</w:t>
      </w:r>
      <w:r>
        <w:rPr>
          <w:rFonts w:ascii="Times New Roman" w:hAnsi="Times New Roman" w:eastAsia="仿宋_GB2312"/>
          <w:sz w:val="32"/>
          <w:szCs w:val="32"/>
        </w:rPr>
        <w:t>。公务用车运行维护费预算数比2021年增加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万元，主要原因：</w:t>
      </w:r>
      <w:r>
        <w:rPr>
          <w:rFonts w:hint="eastAsia" w:ascii="仿宋_GB2312" w:hAnsi="仿宋_GB2312" w:eastAsia="仿宋_GB2312" w:cs="仿宋_GB2312"/>
          <w:color w:val="000000"/>
          <w:sz w:val="32"/>
          <w:szCs w:val="32"/>
        </w:rPr>
        <w:t>2015年底我市进行了公车改革，我部门公务用车全部取消</w:t>
      </w:r>
      <w:r>
        <w:rPr>
          <w:rFonts w:hint="eastAsia" w:ascii="仿宋_GB2312" w:hAnsi="仿宋_GB2312" w:eastAsia="仿宋_GB2312" w:cs="仿宋_GB2312"/>
          <w:color w:val="000000"/>
          <w:kern w:val="0"/>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八、政府性基金支出预算情况说明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2022年府性基金预算支出年初预算为</w:t>
      </w:r>
      <w:r>
        <w:rPr>
          <w:rFonts w:hint="eastAsia" w:ascii="Times New Roman" w:hAnsi="Times New Roman" w:eastAsia="仿宋_GB2312"/>
          <w:sz w:val="32"/>
          <w:szCs w:val="32"/>
        </w:rPr>
        <w:t>0</w:t>
      </w:r>
      <w:r>
        <w:rPr>
          <w:rFonts w:ascii="Times New Roman" w:hAnsi="Times New Roman" w:eastAsia="仿宋_GB2312"/>
          <w:sz w:val="32"/>
          <w:szCs w:val="32"/>
        </w:rPr>
        <w:t>万元。其中：基本支出</w:t>
      </w:r>
      <w:r>
        <w:rPr>
          <w:rFonts w:hint="eastAsia" w:ascii="Times New Roman" w:hAnsi="Times New Roman" w:eastAsia="仿宋_GB2312"/>
          <w:sz w:val="32"/>
          <w:szCs w:val="32"/>
        </w:rPr>
        <w:t>0</w:t>
      </w:r>
      <w:r>
        <w:rPr>
          <w:rFonts w:ascii="Times New Roman" w:hAnsi="Times New Roman" w:eastAsia="仿宋_GB2312"/>
          <w:sz w:val="32"/>
          <w:szCs w:val="32"/>
        </w:rPr>
        <w:t>万元，占</w:t>
      </w:r>
      <w:r>
        <w:rPr>
          <w:rFonts w:hint="eastAsia" w:ascii="Times New Roman" w:hAnsi="Times New Roman" w:eastAsia="仿宋_GB2312"/>
          <w:sz w:val="32"/>
          <w:szCs w:val="32"/>
        </w:rPr>
        <w:t>0</w:t>
      </w:r>
      <w:r>
        <w:rPr>
          <w:rFonts w:ascii="Times New Roman" w:hAnsi="Times New Roman" w:eastAsia="仿宋_GB2312"/>
          <w:sz w:val="32"/>
          <w:szCs w:val="32"/>
        </w:rPr>
        <w:t>%；项目支出</w:t>
      </w:r>
      <w:r>
        <w:rPr>
          <w:rFonts w:hint="eastAsia" w:ascii="Times New Roman" w:hAnsi="Times New Roman" w:eastAsia="仿宋_GB2312"/>
          <w:sz w:val="32"/>
          <w:szCs w:val="32"/>
        </w:rPr>
        <w:t>0</w:t>
      </w:r>
      <w:r>
        <w:rPr>
          <w:rFonts w:ascii="Times New Roman" w:hAnsi="Times New Roman" w:eastAsia="仿宋_GB2312"/>
          <w:sz w:val="32"/>
          <w:szCs w:val="32"/>
        </w:rPr>
        <w:t>万元，占</w:t>
      </w:r>
      <w:r>
        <w:rPr>
          <w:rFonts w:hint="eastAsia" w:ascii="Times New Roman" w:hAnsi="Times New Roman" w:eastAsia="仿宋_GB2312"/>
          <w:sz w:val="32"/>
          <w:szCs w:val="32"/>
        </w:rPr>
        <w:t>0</w:t>
      </w:r>
      <w:r>
        <w:rPr>
          <w:rFonts w:ascii="Times New Roman" w:hAnsi="Times New Roman" w:eastAsia="仿宋_GB2312"/>
          <w:sz w:val="32"/>
          <w:szCs w:val="32"/>
        </w:rPr>
        <w:t>%。主要原因：</w:t>
      </w: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Times New Roman" w:hAnsi="Times New Roman" w:eastAsia="仿宋_GB2312"/>
          <w:sz w:val="32"/>
          <w:szCs w:val="32"/>
        </w:rPr>
        <w:t>无</w:t>
      </w:r>
      <w:r>
        <w:rPr>
          <w:rFonts w:ascii="Times New Roman" w:hAnsi="Times New Roman" w:eastAsia="仿宋_GB2312"/>
          <w:sz w:val="32"/>
          <w:szCs w:val="32"/>
        </w:rPr>
        <w:t>政府性基金预算拨款安排的支出。</w:t>
      </w:r>
    </w:p>
    <w:p>
      <w:pPr>
        <w:overflowPunct w:val="0"/>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九、国有资本经营预算支出预算情况说明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2022年国有资本经营预算支出年初预算为</w:t>
      </w:r>
      <w:r>
        <w:rPr>
          <w:rFonts w:hint="eastAsia" w:ascii="Times New Roman" w:hAnsi="Times New Roman" w:eastAsia="仿宋_GB2312"/>
          <w:sz w:val="32"/>
          <w:szCs w:val="32"/>
        </w:rPr>
        <w:t>0</w:t>
      </w:r>
      <w:r>
        <w:rPr>
          <w:rFonts w:ascii="Times New Roman" w:hAnsi="Times New Roman" w:eastAsia="仿宋_GB2312"/>
          <w:sz w:val="32"/>
          <w:szCs w:val="32"/>
        </w:rPr>
        <w:t>万元。其中：基本支出</w:t>
      </w:r>
      <w:r>
        <w:rPr>
          <w:rFonts w:hint="eastAsia" w:ascii="Times New Roman" w:hAnsi="Times New Roman" w:eastAsia="仿宋_GB2312"/>
          <w:sz w:val="32"/>
          <w:szCs w:val="32"/>
        </w:rPr>
        <w:t>0</w:t>
      </w:r>
      <w:r>
        <w:rPr>
          <w:rFonts w:ascii="Times New Roman" w:hAnsi="Times New Roman" w:eastAsia="仿宋_GB2312"/>
          <w:sz w:val="32"/>
          <w:szCs w:val="32"/>
        </w:rPr>
        <w:t>万元，占</w:t>
      </w:r>
      <w:r>
        <w:rPr>
          <w:rFonts w:hint="eastAsia" w:ascii="Times New Roman" w:hAnsi="Times New Roman" w:eastAsia="仿宋_GB2312"/>
          <w:sz w:val="32"/>
          <w:szCs w:val="32"/>
        </w:rPr>
        <w:t>0</w:t>
      </w:r>
      <w:r>
        <w:rPr>
          <w:rFonts w:ascii="Times New Roman" w:hAnsi="Times New Roman" w:eastAsia="仿宋_GB2312"/>
          <w:sz w:val="32"/>
          <w:szCs w:val="32"/>
        </w:rPr>
        <w:t>%；项目支出</w:t>
      </w:r>
      <w:r>
        <w:rPr>
          <w:rFonts w:hint="eastAsia" w:ascii="Times New Roman" w:hAnsi="Times New Roman" w:eastAsia="仿宋_GB2312"/>
          <w:sz w:val="32"/>
          <w:szCs w:val="32"/>
        </w:rPr>
        <w:t>0</w:t>
      </w:r>
      <w:r>
        <w:rPr>
          <w:rFonts w:ascii="Times New Roman" w:hAnsi="Times New Roman" w:eastAsia="仿宋_GB2312"/>
          <w:sz w:val="32"/>
          <w:szCs w:val="32"/>
        </w:rPr>
        <w:t>万元，占</w:t>
      </w:r>
      <w:r>
        <w:rPr>
          <w:rFonts w:hint="eastAsia" w:ascii="Times New Roman" w:hAnsi="Times New Roman" w:eastAsia="仿宋_GB2312"/>
          <w:sz w:val="32"/>
          <w:szCs w:val="32"/>
        </w:rPr>
        <w:t>0</w:t>
      </w:r>
      <w:r>
        <w:rPr>
          <w:rFonts w:ascii="Times New Roman" w:hAnsi="Times New Roman" w:eastAsia="仿宋_GB2312"/>
          <w:sz w:val="32"/>
          <w:szCs w:val="32"/>
        </w:rPr>
        <w:t>%。主要原因：</w:t>
      </w: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Times New Roman" w:hAnsi="Times New Roman" w:eastAsia="仿宋_GB2312"/>
          <w:sz w:val="32"/>
          <w:szCs w:val="32"/>
        </w:rPr>
        <w:t>无</w:t>
      </w:r>
      <w:r>
        <w:rPr>
          <w:rFonts w:ascii="Times New Roman" w:hAnsi="Times New Roman" w:eastAsia="仿宋_GB2312"/>
          <w:sz w:val="32"/>
          <w:szCs w:val="32"/>
        </w:rPr>
        <w:t>国有资本经营预算拨款安排的支出。</w:t>
      </w:r>
    </w:p>
    <w:p>
      <w:pPr>
        <w:kinsoku w:val="0"/>
        <w:overflowPunct w:val="0"/>
        <w:autoSpaceDE w:val="0"/>
        <w:autoSpaceDN w:val="0"/>
        <w:adjustRightInd w:val="0"/>
        <w:snapToGrid w:val="0"/>
        <w:spacing w:line="600" w:lineRule="exact"/>
        <w:ind w:firstLine="636" w:firstLineChars="200"/>
        <w:rPr>
          <w:rFonts w:ascii="Times New Roman" w:hAnsi="Times New Roman" w:eastAsia="仿宋_GB2312"/>
          <w:sz w:val="32"/>
          <w:szCs w:val="32"/>
          <w:highlight w:val="red"/>
        </w:rPr>
      </w:pPr>
      <w:r>
        <w:rPr>
          <w:rFonts w:ascii="Times New Roman" w:hAnsi="Times New Roman" w:eastAsia="黑体"/>
          <w:spacing w:val="-1"/>
          <w:kern w:val="0"/>
          <w:sz w:val="32"/>
          <w:szCs w:val="32"/>
        </w:rPr>
        <w:t>十、其他重要事项情况说明</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rPr>
        <w:t>（一）行政（事业）单位机构运行经费支出预算情况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伊川县粮食和物资储备中心运行支出预算39.79万元，</w:t>
      </w:r>
      <w:r>
        <w:rPr>
          <w:rFonts w:ascii="Times New Roman" w:hAnsi="Times New Roman" w:eastAsia="仿宋_GB2312"/>
          <w:sz w:val="32"/>
          <w:szCs w:val="32"/>
        </w:rPr>
        <w:t>2022年</w:t>
      </w:r>
      <w:r>
        <w:rPr>
          <w:rFonts w:hint="eastAsia" w:ascii="Times New Roman" w:hAnsi="Times New Roman" w:eastAsia="仿宋_GB2312"/>
          <w:sz w:val="32"/>
          <w:szCs w:val="32"/>
        </w:rPr>
        <w:t>比2021年增加37.16万元，增加1412.93%，主要原因：2022年我单位人员结构发生改变及基本业务经费保障标准调整所致。</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（二）政府采购支出预算情况</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ascii="Times New Roman" w:hAnsi="Times New Roman" w:eastAsia="仿宋_GB2312"/>
          <w:sz w:val="32"/>
          <w:szCs w:val="32"/>
        </w:rPr>
        <w:t>2022年政府采购预算安排</w:t>
      </w:r>
      <w:r>
        <w:rPr>
          <w:rFonts w:hint="eastAsia" w:ascii="Times New Roman" w:hAnsi="Times New Roman" w:eastAsia="仿宋_GB2312"/>
          <w:sz w:val="32"/>
          <w:szCs w:val="32"/>
        </w:rPr>
        <w:t>0</w:t>
      </w:r>
      <w:r>
        <w:rPr>
          <w:rFonts w:ascii="Times New Roman" w:hAnsi="Times New Roman" w:eastAsia="仿宋_GB2312"/>
          <w:sz w:val="32"/>
          <w:szCs w:val="32"/>
        </w:rPr>
        <w:t>万元，其中：政府采购货物预算</w:t>
      </w:r>
      <w:r>
        <w:rPr>
          <w:rFonts w:hint="eastAsia" w:ascii="Times New Roman" w:hAnsi="Times New Roman" w:eastAsia="仿宋_GB2312"/>
          <w:sz w:val="32"/>
          <w:szCs w:val="32"/>
        </w:rPr>
        <w:t>0</w:t>
      </w:r>
      <w:r>
        <w:rPr>
          <w:rFonts w:ascii="Times New Roman" w:hAnsi="Times New Roman" w:eastAsia="仿宋_GB2312"/>
          <w:sz w:val="32"/>
          <w:szCs w:val="32"/>
        </w:rPr>
        <w:t>万元、政府采购工程预算</w:t>
      </w:r>
      <w:r>
        <w:rPr>
          <w:rFonts w:hint="eastAsia" w:ascii="Times New Roman" w:hAnsi="Times New Roman" w:eastAsia="仿宋_GB2312"/>
          <w:sz w:val="32"/>
          <w:szCs w:val="32"/>
        </w:rPr>
        <w:t>0</w:t>
      </w:r>
      <w:r>
        <w:rPr>
          <w:rFonts w:ascii="Times New Roman" w:hAnsi="Times New Roman" w:eastAsia="仿宋_GB2312"/>
          <w:sz w:val="32"/>
          <w:szCs w:val="32"/>
        </w:rPr>
        <w:t>万元、政府采购服务预算</w:t>
      </w:r>
      <w:r>
        <w:rPr>
          <w:rFonts w:hint="eastAsia" w:ascii="Times New Roman" w:hAnsi="Times New Roman" w:eastAsia="仿宋_GB2312"/>
          <w:sz w:val="32"/>
          <w:szCs w:val="32"/>
        </w:rPr>
        <w:t>0</w:t>
      </w:r>
      <w:r>
        <w:rPr>
          <w:rFonts w:ascii="Times New Roman" w:hAnsi="Times New Roman" w:eastAsia="仿宋_GB2312"/>
          <w:sz w:val="32"/>
          <w:szCs w:val="32"/>
        </w:rPr>
        <w:t>万元</w:t>
      </w:r>
      <w:r>
        <w:rPr>
          <w:rFonts w:hint="eastAsia" w:ascii="Times New Roman" w:hAnsi="Times New Roman" w:eastAsia="仿宋_GB2312"/>
          <w:sz w:val="32"/>
          <w:szCs w:val="32"/>
        </w:rPr>
        <w:t>。</w:t>
      </w:r>
      <w:r>
        <w:rPr>
          <w:rFonts w:hint="eastAsia" w:ascii="仿宋_GB2312" w:hAnsi="仿宋_GB2312" w:eastAsia="仿宋_GB2312" w:cs="仿宋_GB2312"/>
          <w:color w:val="000000"/>
          <w:kern w:val="0"/>
          <w:sz w:val="32"/>
          <w:szCs w:val="32"/>
        </w:rPr>
        <w:t>主要原因是</w:t>
      </w:r>
      <w:r>
        <w:rPr>
          <w:rFonts w:hint="eastAsia" w:ascii="Times New Roman" w:hAnsi="Times New Roman" w:eastAsia="仿宋_GB2312"/>
          <w:sz w:val="32"/>
          <w:szCs w:val="32"/>
        </w:rPr>
        <w:t>伊川县粮食和物资储备中心</w:t>
      </w:r>
      <w:r>
        <w:rPr>
          <w:rFonts w:hint="eastAsia" w:ascii="仿宋_GB2312" w:hAnsi="仿宋_GB2312" w:eastAsia="仿宋_GB2312" w:cs="仿宋_GB2312"/>
          <w:color w:val="000000"/>
          <w:kern w:val="0"/>
          <w:sz w:val="32"/>
          <w:szCs w:val="32"/>
        </w:rPr>
        <w:t>2022年无政府采购预算安排。</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（三）绩效目标设置情况</w:t>
      </w:r>
    </w:p>
    <w:p>
      <w:pPr>
        <w:kinsoku w:val="0"/>
        <w:overflowPunct w:val="0"/>
        <w:autoSpaceDE w:val="0"/>
        <w:autoSpaceDN w:val="0"/>
        <w:adjustRightInd w:val="0"/>
        <w:snapToGrid w:val="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2022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（四）国有资产占用情况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2021年期末，</w:t>
      </w: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共有车辆</w:t>
      </w:r>
      <w:r>
        <w:rPr>
          <w:rFonts w:hint="eastAsia" w:ascii="Times New Roman" w:hAnsi="Times New Roman" w:eastAsia="仿宋_GB2312"/>
          <w:sz w:val="32"/>
          <w:szCs w:val="32"/>
        </w:rPr>
        <w:t>0</w:t>
      </w:r>
      <w:r>
        <w:rPr>
          <w:rFonts w:ascii="Times New Roman" w:hAnsi="Times New Roman" w:eastAsia="仿宋_GB2312"/>
          <w:sz w:val="32"/>
          <w:szCs w:val="32"/>
        </w:rPr>
        <w:t>辆，其中：一般公务用车</w:t>
      </w:r>
      <w:r>
        <w:rPr>
          <w:rFonts w:hint="eastAsia" w:ascii="Times New Roman" w:hAnsi="Times New Roman" w:eastAsia="仿宋_GB2312"/>
          <w:sz w:val="32"/>
          <w:szCs w:val="32"/>
        </w:rPr>
        <w:t>0</w:t>
      </w:r>
      <w:r>
        <w:rPr>
          <w:rFonts w:ascii="Times New Roman" w:hAnsi="Times New Roman" w:eastAsia="仿宋_GB2312"/>
          <w:sz w:val="32"/>
          <w:szCs w:val="32"/>
        </w:rPr>
        <w:t>辆、一般执法执勤用车</w:t>
      </w:r>
      <w:r>
        <w:rPr>
          <w:rFonts w:hint="eastAsia" w:ascii="Times New Roman" w:hAnsi="Times New Roman" w:eastAsia="仿宋_GB2312"/>
          <w:sz w:val="32"/>
          <w:szCs w:val="32"/>
        </w:rPr>
        <w:t>0</w:t>
      </w:r>
      <w:r>
        <w:rPr>
          <w:rFonts w:ascii="Times New Roman" w:hAnsi="Times New Roman" w:eastAsia="仿宋_GB2312"/>
          <w:sz w:val="32"/>
          <w:szCs w:val="32"/>
        </w:rPr>
        <w:t>辆、特种专业技术用车</w:t>
      </w:r>
      <w:r>
        <w:rPr>
          <w:rFonts w:hint="eastAsia" w:ascii="Times New Roman" w:hAnsi="Times New Roman" w:eastAsia="仿宋_GB2312"/>
          <w:sz w:val="32"/>
          <w:szCs w:val="32"/>
        </w:rPr>
        <w:t>0</w:t>
      </w:r>
      <w:r>
        <w:rPr>
          <w:rFonts w:ascii="Times New Roman" w:hAnsi="Times New Roman" w:eastAsia="仿宋_GB2312"/>
          <w:sz w:val="32"/>
          <w:szCs w:val="32"/>
        </w:rPr>
        <w:t>辆，其他用车</w:t>
      </w:r>
      <w:r>
        <w:rPr>
          <w:rFonts w:hint="eastAsia" w:ascii="Times New Roman" w:hAnsi="Times New Roman" w:eastAsia="仿宋_GB2312"/>
          <w:sz w:val="32"/>
          <w:szCs w:val="32"/>
        </w:rPr>
        <w:t>0</w:t>
      </w:r>
      <w:r>
        <w:rPr>
          <w:rFonts w:ascii="Times New Roman" w:hAnsi="Times New Roman" w:eastAsia="仿宋_GB2312"/>
          <w:sz w:val="32"/>
          <w:szCs w:val="32"/>
        </w:rPr>
        <w:t>辆；单位价值50万元以上通用设备</w:t>
      </w:r>
      <w:r>
        <w:rPr>
          <w:rFonts w:hint="eastAsia" w:ascii="Times New Roman" w:hAnsi="Times New Roman" w:eastAsia="仿宋_GB2312"/>
          <w:sz w:val="32"/>
          <w:szCs w:val="32"/>
        </w:rPr>
        <w:t>0</w:t>
      </w:r>
      <w:r>
        <w:rPr>
          <w:rFonts w:ascii="Times New Roman" w:hAnsi="Times New Roman" w:eastAsia="仿宋_GB2312"/>
          <w:sz w:val="32"/>
          <w:szCs w:val="32"/>
        </w:rPr>
        <w:t>套，单位价值100万元以上专用设备</w:t>
      </w:r>
      <w:r>
        <w:rPr>
          <w:rFonts w:hint="eastAsia" w:ascii="Times New Roman" w:hAnsi="Times New Roman" w:eastAsia="仿宋_GB2312"/>
          <w:sz w:val="32"/>
          <w:szCs w:val="32"/>
        </w:rPr>
        <w:t>0</w:t>
      </w:r>
      <w:r>
        <w:rPr>
          <w:rFonts w:ascii="Times New Roman" w:hAnsi="Times New Roman" w:eastAsia="仿宋_GB2312"/>
          <w:sz w:val="32"/>
          <w:szCs w:val="32"/>
        </w:rPr>
        <w:t>套。</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（五）专项转移支付项目情况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伊川县粮食和物资储备中心</w:t>
      </w:r>
      <w:r>
        <w:rPr>
          <w:rFonts w:ascii="Times New Roman" w:hAnsi="Times New Roman" w:eastAsia="仿宋_GB2312"/>
          <w:sz w:val="32"/>
          <w:szCs w:val="32"/>
        </w:rPr>
        <w:t>负责管理的专项转移支付项目共有</w:t>
      </w:r>
      <w:r>
        <w:rPr>
          <w:rFonts w:hint="eastAsia" w:ascii="Times New Roman" w:hAnsi="Times New Roman" w:eastAsia="仿宋_GB2312"/>
          <w:sz w:val="32"/>
          <w:szCs w:val="32"/>
        </w:rPr>
        <w:t>0</w:t>
      </w:r>
      <w:r>
        <w:rPr>
          <w:rFonts w:ascii="Times New Roman" w:hAnsi="Times New Roman" w:eastAsia="仿宋_GB2312"/>
          <w:sz w:val="32"/>
          <w:szCs w:val="32"/>
        </w:rPr>
        <w:t>项，</w:t>
      </w:r>
      <w:r>
        <w:rPr>
          <w:rFonts w:hint="eastAsia" w:ascii="仿宋_GB2312" w:hAnsi="仿宋_GB2312" w:eastAsia="仿宋_GB2312" w:cs="仿宋_GB2312"/>
          <w:color w:val="000000"/>
          <w:kern w:val="0"/>
          <w:sz w:val="32"/>
          <w:szCs w:val="32"/>
        </w:rPr>
        <w:t>主要原因是</w:t>
      </w:r>
      <w:r>
        <w:rPr>
          <w:rFonts w:hint="eastAsia" w:ascii="Times New Roman" w:hAnsi="Times New Roman" w:eastAsia="仿宋_GB2312"/>
          <w:sz w:val="32"/>
          <w:szCs w:val="32"/>
        </w:rPr>
        <w:t>伊川县粮食和物资储备中心</w:t>
      </w:r>
      <w:r>
        <w:rPr>
          <w:rFonts w:hint="eastAsia" w:ascii="仿宋_GB2312" w:hAnsi="仿宋_GB2312" w:eastAsia="仿宋_GB2312" w:cs="仿宋_GB2312"/>
          <w:color w:val="000000"/>
          <w:kern w:val="0"/>
          <w:sz w:val="32"/>
          <w:szCs w:val="32"/>
        </w:rPr>
        <w:t>2022年无负责管理的</w:t>
      </w:r>
      <w:r>
        <w:rPr>
          <w:rFonts w:ascii="Times New Roman" w:hAnsi="Times New Roman" w:eastAsia="仿宋_GB2312"/>
          <w:sz w:val="32"/>
          <w:szCs w:val="32"/>
        </w:rPr>
        <w:t>专项转移支付项目；按照《预算法》等有关规定，我单位将积极做好项目分配前期准备工作，在规定的时间内向财政部门提出资金分配意见，根据有关要求做好项目申报公开等相关工作。</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第三部分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名词解释</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一、财政拨款收入：是指同级财政拨付的资金：包括一般公共预算拨款、政府性基金预算拨款、国有资本经营预算拨款。</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五、基本支出：是指为保障机构正常运转、完成日常工作任务所必需的开支，其内容包括人员经费和日常公用经费两部分。</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三公”经费：是指纳入同级财政预算管理，部门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overflowPunct w:val="0"/>
        <w:adjustRightInd w:val="0"/>
        <w:snapToGrid w:val="0"/>
        <w:spacing w:line="600" w:lineRule="exact"/>
        <w:rPr>
          <w:rFonts w:ascii="Times New Roman" w:hAnsi="Times New Roman" w:eastAsia="黑体"/>
          <w:sz w:val="32"/>
          <w:szCs w:val="32"/>
        </w:rPr>
      </w:pPr>
    </w:p>
    <w:p>
      <w:pPr>
        <w:overflowPunct w:val="0"/>
        <w:adjustRightInd w:val="0"/>
        <w:snapToGrid w:val="0"/>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附件：2022年</w:t>
      </w:r>
      <w:r>
        <w:rPr>
          <w:rFonts w:hint="eastAsia" w:ascii="Times New Roman" w:hAnsi="Times New Roman" w:eastAsia="仿宋_GB2312"/>
          <w:b/>
          <w:bCs/>
          <w:sz w:val="32"/>
          <w:szCs w:val="32"/>
        </w:rPr>
        <w:t>伊川县粮食和物资储备中心</w:t>
      </w:r>
      <w:r>
        <w:rPr>
          <w:rFonts w:ascii="Times New Roman" w:hAnsi="Times New Roman" w:eastAsia="仿宋_GB2312"/>
          <w:b/>
          <w:bCs/>
          <w:sz w:val="32"/>
          <w:szCs w:val="32"/>
        </w:rPr>
        <w:t>部门预算表</w:t>
      </w:r>
    </w:p>
    <w:p/>
    <w:p/>
    <w:p/>
    <w:p/>
    <w:p/>
    <w:p/>
    <w:p/>
    <w:p/>
    <w:p/>
    <w:p/>
    <w:p/>
    <w:p/>
    <w:p/>
    <w:p/>
    <w:p/>
    <w:p/>
    <w:p/>
    <w:tbl>
      <w:tblPr>
        <w:tblStyle w:val="4"/>
        <w:tblW w:w="9215" w:type="dxa"/>
        <w:tblInd w:w="-427" w:type="dxa"/>
        <w:tblLayout w:type="fixed"/>
        <w:tblCellMar>
          <w:top w:w="15" w:type="dxa"/>
          <w:left w:w="15" w:type="dxa"/>
          <w:bottom w:w="15" w:type="dxa"/>
          <w:right w:w="15" w:type="dxa"/>
        </w:tblCellMar>
      </w:tblPr>
      <w:tblGrid>
        <w:gridCol w:w="2436"/>
        <w:gridCol w:w="199"/>
        <w:gridCol w:w="2261"/>
        <w:gridCol w:w="1860"/>
        <w:gridCol w:w="785"/>
        <w:gridCol w:w="1674"/>
      </w:tblGrid>
      <w:tr>
        <w:tblPrEx>
          <w:tblCellMar>
            <w:top w:w="15" w:type="dxa"/>
            <w:left w:w="15" w:type="dxa"/>
            <w:bottom w:w="15" w:type="dxa"/>
            <w:right w:w="15" w:type="dxa"/>
          </w:tblCellMar>
        </w:tblPrEx>
        <w:trPr>
          <w:trHeight w:val="450" w:hRule="atLeast"/>
        </w:trPr>
        <w:tc>
          <w:tcPr>
            <w:tcW w:w="9215" w:type="dxa"/>
            <w:gridSpan w:val="6"/>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预算01表</w:t>
            </w:r>
          </w:p>
        </w:tc>
      </w:tr>
      <w:tr>
        <w:tblPrEx>
          <w:tblCellMar>
            <w:top w:w="15" w:type="dxa"/>
            <w:left w:w="15" w:type="dxa"/>
            <w:bottom w:w="15" w:type="dxa"/>
            <w:right w:w="15" w:type="dxa"/>
          </w:tblCellMar>
        </w:tblPrEx>
        <w:trPr>
          <w:trHeight w:val="411" w:hRule="atLeast"/>
        </w:trPr>
        <w:tc>
          <w:tcPr>
            <w:tcW w:w="9215" w:type="dxa"/>
            <w:gridSpan w:val="6"/>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2022年部门收支预算表</w:t>
            </w:r>
          </w:p>
        </w:tc>
      </w:tr>
      <w:tr>
        <w:tblPrEx>
          <w:tblCellMar>
            <w:top w:w="15" w:type="dxa"/>
            <w:left w:w="15" w:type="dxa"/>
            <w:bottom w:w="15" w:type="dxa"/>
            <w:right w:w="15" w:type="dxa"/>
          </w:tblCellMar>
        </w:tblPrEx>
        <w:trPr>
          <w:trHeight w:val="450" w:hRule="atLeast"/>
        </w:trPr>
        <w:tc>
          <w:tcPr>
            <w:tcW w:w="2635" w:type="dxa"/>
            <w:gridSpan w:val="2"/>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4906"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674"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67"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项目  </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金额  </w:t>
            </w: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  </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金额</w:t>
            </w:r>
          </w:p>
        </w:tc>
      </w:tr>
      <w:tr>
        <w:tblPrEx>
          <w:tblCellMar>
            <w:top w:w="15" w:type="dxa"/>
            <w:left w:w="15" w:type="dxa"/>
            <w:bottom w:w="15" w:type="dxa"/>
            <w:right w:w="15" w:type="dxa"/>
          </w:tblCellMar>
        </w:tblPrEx>
        <w:trPr>
          <w:trHeight w:val="31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四、财政专户管理资金收入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五、事业收入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20"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六、事业单位经营收入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七、文化旅游体育与传媒</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七、上级补助收入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39.77</w:t>
            </w:r>
          </w:p>
        </w:tc>
      </w:tr>
      <w:tr>
        <w:tblPrEx>
          <w:tblCellMar>
            <w:top w:w="15" w:type="dxa"/>
            <w:left w:w="15" w:type="dxa"/>
            <w:bottom w:w="15" w:type="dxa"/>
            <w:right w:w="15" w:type="dxa"/>
          </w:tblCellMar>
        </w:tblPrEx>
        <w:trPr>
          <w:trHeight w:val="28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八、附属单位上缴收入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九、社会保险基金支出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九、其他收入</w:t>
            </w:r>
          </w:p>
        </w:tc>
        <w:tc>
          <w:tcPr>
            <w:tcW w:w="22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5.14</w:t>
            </w: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99"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40"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963.72</w:t>
            </w: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r>
      <w:tr>
        <w:tblPrEx>
          <w:tblCellMar>
            <w:top w:w="15" w:type="dxa"/>
            <w:left w:w="15" w:type="dxa"/>
            <w:bottom w:w="15" w:type="dxa"/>
            <w:right w:w="15" w:type="dxa"/>
          </w:tblCellMar>
        </w:tblPrEx>
        <w:trPr>
          <w:trHeight w:val="31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5"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26"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22"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61" w:hRule="atLeast"/>
        </w:trPr>
        <w:tc>
          <w:tcPr>
            <w:tcW w:w="489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6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82" w:hRule="atLeast"/>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 年 收 入 合 计</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26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 年 支 出 合 计</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r>
      <w:tr>
        <w:tblPrEx>
          <w:tblCellMar>
            <w:top w:w="15" w:type="dxa"/>
            <w:left w:w="15" w:type="dxa"/>
            <w:bottom w:w="15" w:type="dxa"/>
            <w:right w:w="15" w:type="dxa"/>
          </w:tblCellMar>
        </w:tblPrEx>
        <w:trPr>
          <w:trHeight w:val="212" w:hRule="atLeast"/>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上年结转结余</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年终结转结余</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0.00</w:t>
            </w:r>
          </w:p>
        </w:tc>
      </w:tr>
      <w:tr>
        <w:tblPrEx>
          <w:tblCellMar>
            <w:top w:w="15" w:type="dxa"/>
            <w:left w:w="15" w:type="dxa"/>
            <w:bottom w:w="15" w:type="dxa"/>
            <w:right w:w="15" w:type="dxa"/>
          </w:tblCellMar>
        </w:tblPrEx>
        <w:trPr>
          <w:trHeight w:val="429" w:hRule="atLeast"/>
        </w:trPr>
        <w:tc>
          <w:tcPr>
            <w:tcW w:w="24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收 入 总 计</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支 出 总 计</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r>
    </w:tbl>
    <w:p>
      <w:p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start="1"/>
          <w:cols w:space="720" w:num="1"/>
          <w:docGrid w:type="lines" w:linePitch="312" w:charSpace="0"/>
        </w:sectPr>
      </w:pPr>
    </w:p>
    <w:tbl>
      <w:tblPr>
        <w:tblStyle w:val="4"/>
        <w:tblW w:w="14204" w:type="dxa"/>
        <w:tblInd w:w="-123" w:type="dxa"/>
        <w:tblLayout w:type="fixed"/>
        <w:tblCellMar>
          <w:top w:w="15" w:type="dxa"/>
          <w:left w:w="15" w:type="dxa"/>
          <w:bottom w:w="15" w:type="dxa"/>
          <w:right w:w="15" w:type="dxa"/>
        </w:tblCellMar>
      </w:tblPr>
      <w:tblGrid>
        <w:gridCol w:w="893"/>
        <w:gridCol w:w="1665"/>
        <w:gridCol w:w="885"/>
        <w:gridCol w:w="786"/>
        <w:gridCol w:w="840"/>
        <w:gridCol w:w="750"/>
        <w:gridCol w:w="495"/>
        <w:gridCol w:w="739"/>
        <w:gridCol w:w="720"/>
        <w:gridCol w:w="450"/>
        <w:gridCol w:w="720"/>
        <w:gridCol w:w="555"/>
        <w:gridCol w:w="551"/>
        <w:gridCol w:w="349"/>
        <w:gridCol w:w="780"/>
        <w:gridCol w:w="615"/>
        <w:gridCol w:w="570"/>
        <w:gridCol w:w="536"/>
        <w:gridCol w:w="420"/>
        <w:gridCol w:w="885"/>
      </w:tblGrid>
      <w:tr>
        <w:tblPrEx>
          <w:tblCellMar>
            <w:top w:w="15" w:type="dxa"/>
            <w:left w:w="15" w:type="dxa"/>
            <w:bottom w:w="15" w:type="dxa"/>
            <w:right w:w="15" w:type="dxa"/>
          </w:tblCellMar>
        </w:tblPrEx>
        <w:trPr>
          <w:trHeight w:val="286" w:hRule="atLeast"/>
        </w:trPr>
        <w:tc>
          <w:tcPr>
            <w:tcW w:w="14204" w:type="dxa"/>
            <w:gridSpan w:val="20"/>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预算02表</w:t>
            </w:r>
          </w:p>
        </w:tc>
      </w:tr>
      <w:tr>
        <w:tblPrEx>
          <w:tblCellMar>
            <w:top w:w="15" w:type="dxa"/>
            <w:left w:w="15" w:type="dxa"/>
            <w:bottom w:w="15" w:type="dxa"/>
            <w:right w:w="15" w:type="dxa"/>
          </w:tblCellMar>
        </w:tblPrEx>
        <w:trPr>
          <w:trHeight w:val="324" w:hRule="atLeast"/>
        </w:trPr>
        <w:tc>
          <w:tcPr>
            <w:tcW w:w="14204" w:type="dxa"/>
            <w:gridSpan w:val="20"/>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2022年部门收入预算表</w:t>
            </w:r>
          </w:p>
        </w:tc>
      </w:tr>
      <w:tr>
        <w:tblPrEx>
          <w:tblCellMar>
            <w:top w:w="15" w:type="dxa"/>
            <w:left w:w="15" w:type="dxa"/>
            <w:bottom w:w="15" w:type="dxa"/>
            <w:right w:w="15" w:type="dxa"/>
          </w:tblCellMar>
        </w:tblPrEx>
        <w:trPr>
          <w:trHeight w:val="90" w:hRule="atLeast"/>
        </w:trPr>
        <w:tc>
          <w:tcPr>
            <w:tcW w:w="893" w:type="dxa"/>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2426" w:type="dxa"/>
            <w:gridSpan w:val="18"/>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885"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部门（单位）代码</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部门（单位）名称</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总计</w:t>
            </w:r>
          </w:p>
        </w:tc>
        <w:tc>
          <w:tcPr>
            <w:tcW w:w="6955" w:type="dxa"/>
            <w:gridSpan w:val="11"/>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ascii="宋体" w:hAnsi="宋体" w:cs="宋体"/>
                <w:color w:val="000000"/>
                <w:kern w:val="0"/>
                <w:sz w:val="18"/>
                <w:szCs w:val="18"/>
              </w:rPr>
              <w:t>本年收入</w:t>
            </w:r>
          </w:p>
        </w:tc>
        <w:tc>
          <w:tcPr>
            <w:tcW w:w="3806"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上年结转结余</w:t>
            </w:r>
          </w:p>
        </w:tc>
      </w:tr>
      <w:tr>
        <w:tblPrEx>
          <w:tblCellMar>
            <w:top w:w="15" w:type="dxa"/>
            <w:left w:w="15" w:type="dxa"/>
            <w:bottom w:w="15" w:type="dxa"/>
            <w:right w:w="15" w:type="dxa"/>
          </w:tblCellMar>
        </w:tblPrEx>
        <w:trPr>
          <w:trHeight w:val="286" w:hRule="atLeast"/>
        </w:trPr>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合计</w:t>
            </w:r>
          </w:p>
        </w:tc>
        <w:tc>
          <w:tcPr>
            <w:tcW w:w="159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财政专户管理资金收入</w:t>
            </w:r>
          </w:p>
        </w:tc>
        <w:tc>
          <w:tcPr>
            <w:tcW w:w="45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事业单位经营收入</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上级补助收入</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ascii="宋体" w:hAnsi="宋体" w:cs="宋体"/>
                <w:color w:val="000000"/>
                <w:kern w:val="0"/>
                <w:sz w:val="18"/>
                <w:szCs w:val="18"/>
              </w:rPr>
              <w:t>附属单位上缴收入</w:t>
            </w:r>
          </w:p>
        </w:tc>
        <w:tc>
          <w:tcPr>
            <w:tcW w:w="349"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其他收入</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合计</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ascii="宋体" w:hAnsi="宋体" w:cs="宋体"/>
                <w:color w:val="000000"/>
                <w:kern w:val="0"/>
                <w:sz w:val="18"/>
                <w:szCs w:val="18"/>
              </w:rPr>
              <w:t>国有资本经营预算</w:t>
            </w:r>
          </w:p>
        </w:tc>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单位资金</w:t>
            </w:r>
          </w:p>
        </w:tc>
      </w:tr>
      <w:tr>
        <w:tblPrEx>
          <w:tblCellMar>
            <w:top w:w="15" w:type="dxa"/>
            <w:left w:w="15" w:type="dxa"/>
            <w:bottom w:w="15" w:type="dxa"/>
            <w:right w:w="15" w:type="dxa"/>
          </w:tblCellMar>
        </w:tblPrEx>
        <w:trPr>
          <w:trHeight w:val="720" w:hRule="atLeast"/>
        </w:trPr>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小计</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tc>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合计</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1570.63</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560.63</w:t>
            </w: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tc>
        <w:tc>
          <w:tcPr>
            <w:tcW w:w="3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5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vAlign w:val="center"/>
          </w:tc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95"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601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1570.63</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560.63</w:t>
            </w: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tc>
        <w:tc>
          <w:tcPr>
            <w:tcW w:w="3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5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vAlign w:val="center"/>
          </w:tc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674"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601001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1570.63</w:t>
            </w:r>
          </w:p>
        </w:tc>
        <w:tc>
          <w:tcPr>
            <w:tcW w:w="7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1122.63</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560.63</w:t>
            </w: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tc>
        <w:tc>
          <w:tcPr>
            <w:tcW w:w="3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ascii="宋体" w:hAnsi="宋体" w:cs="宋体"/>
                <w:color w:val="000000"/>
                <w:kern w:val="0"/>
                <w:sz w:val="18"/>
                <w:szCs w:val="18"/>
              </w:rPr>
              <w:t>448.00</w:t>
            </w:r>
          </w:p>
        </w:tc>
        <w:tc>
          <w:tcPr>
            <w:tcW w:w="5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vAlign w:val="center"/>
          </w:tc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71" w:hRule="atLeast"/>
        </w:trPr>
        <w:tc>
          <w:tcPr>
            <w:tcW w:w="893" w:type="dxa"/>
            <w:vAlign w:val="center"/>
          </w:tcPr>
          <w:p>
            <w:pPr>
              <w:rPr>
                <w:rFonts w:ascii="宋体" w:hAnsi="宋体" w:cs="宋体"/>
                <w:color w:val="000000"/>
                <w:sz w:val="22"/>
              </w:rPr>
            </w:pPr>
          </w:p>
        </w:tc>
        <w:tc>
          <w:tcPr>
            <w:tcW w:w="1665" w:type="dxa"/>
            <w:vAlign w:val="center"/>
          </w:tcPr>
          <w:p/>
        </w:tc>
        <w:tc>
          <w:tcPr>
            <w:tcW w:w="885" w:type="dxa"/>
            <w:vAlign w:val="center"/>
          </w:tcPr>
          <w:p/>
        </w:tc>
        <w:tc>
          <w:tcPr>
            <w:tcW w:w="786" w:type="dxa"/>
            <w:vAlign w:val="center"/>
          </w:tcPr>
          <w:p/>
        </w:tc>
        <w:tc>
          <w:tcPr>
            <w:tcW w:w="840" w:type="dxa"/>
            <w:vAlign w:val="center"/>
          </w:tcPr>
          <w:p/>
        </w:tc>
        <w:tc>
          <w:tcPr>
            <w:tcW w:w="750" w:type="dxa"/>
            <w:vAlign w:val="center"/>
          </w:tcPr>
          <w:p/>
        </w:tc>
        <w:tc>
          <w:tcPr>
            <w:tcW w:w="495" w:type="dxa"/>
            <w:vAlign w:val="center"/>
          </w:tcPr>
          <w:p/>
        </w:tc>
        <w:tc>
          <w:tcPr>
            <w:tcW w:w="739" w:type="dxa"/>
            <w:vAlign w:val="center"/>
          </w:tcPr>
          <w:p/>
        </w:tc>
        <w:tc>
          <w:tcPr>
            <w:tcW w:w="720" w:type="dxa"/>
            <w:vAlign w:val="center"/>
          </w:tcPr>
          <w:p/>
        </w:tc>
        <w:tc>
          <w:tcPr>
            <w:tcW w:w="450" w:type="dxa"/>
            <w:vAlign w:val="center"/>
          </w:tcPr>
          <w:p/>
        </w:tc>
        <w:tc>
          <w:tcPr>
            <w:tcW w:w="720" w:type="dxa"/>
            <w:vAlign w:val="center"/>
          </w:tcPr>
          <w:p/>
        </w:tc>
        <w:tc>
          <w:tcPr>
            <w:tcW w:w="555" w:type="dxa"/>
            <w:vAlign w:val="center"/>
          </w:tcPr>
          <w:p/>
        </w:tc>
        <w:tc>
          <w:tcPr>
            <w:tcW w:w="551" w:type="dxa"/>
            <w:vAlign w:val="center"/>
          </w:tcPr>
          <w:p/>
        </w:tc>
        <w:tc>
          <w:tcPr>
            <w:tcW w:w="349" w:type="dxa"/>
            <w:vAlign w:val="center"/>
          </w:tcPr>
          <w:p/>
        </w:tc>
        <w:tc>
          <w:tcPr>
            <w:tcW w:w="780" w:type="dxa"/>
            <w:vAlign w:val="center"/>
          </w:tcPr>
          <w:p/>
        </w:tc>
        <w:tc>
          <w:tcPr>
            <w:tcW w:w="615" w:type="dxa"/>
            <w:vAlign w:val="center"/>
          </w:tcPr>
          <w:p/>
        </w:tc>
        <w:tc>
          <w:tcPr>
            <w:tcW w:w="570" w:type="dxa"/>
            <w:vAlign w:val="center"/>
          </w:tcPr>
          <w:p/>
        </w:tc>
        <w:tc>
          <w:tcPr>
            <w:tcW w:w="536" w:type="dxa"/>
            <w:vAlign w:val="center"/>
          </w:tcPr>
          <w:p/>
        </w:tc>
        <w:tc>
          <w:tcPr>
            <w:tcW w:w="420" w:type="dxa"/>
            <w:vAlign w:val="center"/>
          </w:tcPr>
          <w:p/>
        </w:tc>
        <w:tc>
          <w:tcPr>
            <w:tcW w:w="885" w:type="dxa"/>
            <w:vAlign w:val="center"/>
          </w:tcPr>
          <w:p/>
        </w:tc>
      </w:tr>
    </w:tbl>
    <w:p/>
    <w:p/>
    <w:p/>
    <w:p/>
    <w:p/>
    <w:p/>
    <w:tbl>
      <w:tblPr>
        <w:tblStyle w:val="4"/>
        <w:tblpPr w:leftFromText="180" w:rightFromText="180" w:vertAnchor="text" w:horzAnchor="page" w:tblpX="1604" w:tblpY="-8520"/>
        <w:tblOverlap w:val="never"/>
        <w:tblW w:w="14091" w:type="dxa"/>
        <w:tblInd w:w="0" w:type="dxa"/>
        <w:tblLayout w:type="fixed"/>
        <w:tblCellMar>
          <w:top w:w="15" w:type="dxa"/>
          <w:left w:w="15" w:type="dxa"/>
          <w:bottom w:w="15" w:type="dxa"/>
          <w:right w:w="15" w:type="dxa"/>
        </w:tblCellMar>
      </w:tblPr>
      <w:tblGrid>
        <w:gridCol w:w="439"/>
        <w:gridCol w:w="634"/>
        <w:gridCol w:w="1031"/>
        <w:gridCol w:w="599"/>
        <w:gridCol w:w="2209"/>
        <w:gridCol w:w="1311"/>
        <w:gridCol w:w="1040"/>
        <w:gridCol w:w="941"/>
        <w:gridCol w:w="998"/>
        <w:gridCol w:w="884"/>
        <w:gridCol w:w="641"/>
        <w:gridCol w:w="983"/>
        <w:gridCol w:w="656"/>
        <w:gridCol w:w="1725"/>
      </w:tblGrid>
      <w:tr>
        <w:tblPrEx>
          <w:tblCellMar>
            <w:top w:w="15" w:type="dxa"/>
            <w:left w:w="15" w:type="dxa"/>
            <w:bottom w:w="15" w:type="dxa"/>
            <w:right w:w="15" w:type="dxa"/>
          </w:tblCellMar>
        </w:tblPrEx>
        <w:trPr>
          <w:trHeight w:val="1110" w:hRule="atLeast"/>
        </w:trPr>
        <w:tc>
          <w:tcPr>
            <w:tcW w:w="14091" w:type="dxa"/>
            <w:gridSpan w:val="14"/>
            <w:vAlign w:val="center"/>
          </w:tcPr>
          <w:p>
            <w:pPr>
              <w:widowControl/>
              <w:jc w:val="right"/>
              <w:textAlignment w:val="center"/>
              <w:rPr>
                <w:rFonts w:ascii="宋体" w:hAnsi="宋体" w:cs="宋体"/>
                <w:color w:val="000000"/>
                <w:kern w:val="0"/>
                <w:sz w:val="18"/>
                <w:szCs w:val="18"/>
              </w:rPr>
            </w:pPr>
          </w:p>
          <w:p>
            <w:pPr>
              <w:widowControl/>
              <w:jc w:val="right"/>
              <w:textAlignment w:val="center"/>
              <w:rPr>
                <w:rFonts w:ascii="宋体" w:hAnsi="宋体" w:cs="宋体"/>
                <w:color w:val="000000"/>
                <w:kern w:val="0"/>
                <w:sz w:val="18"/>
                <w:szCs w:val="18"/>
              </w:rPr>
            </w:pPr>
          </w:p>
          <w:p>
            <w:pPr>
              <w:widowControl/>
              <w:jc w:val="right"/>
              <w:textAlignment w:val="center"/>
              <w:rPr>
                <w:rFonts w:ascii="宋体" w:hAnsi="宋体" w:cs="宋体"/>
                <w:color w:val="000000"/>
                <w:kern w:val="0"/>
                <w:sz w:val="18"/>
                <w:szCs w:val="18"/>
              </w:rPr>
            </w:pPr>
          </w:p>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预算03表</w:t>
            </w:r>
          </w:p>
        </w:tc>
      </w:tr>
      <w:tr>
        <w:tblPrEx>
          <w:tblCellMar>
            <w:top w:w="15" w:type="dxa"/>
            <w:left w:w="15" w:type="dxa"/>
            <w:bottom w:w="15" w:type="dxa"/>
            <w:right w:w="15" w:type="dxa"/>
          </w:tblCellMar>
        </w:tblPrEx>
        <w:trPr>
          <w:trHeight w:val="810" w:hRule="atLeast"/>
        </w:trPr>
        <w:tc>
          <w:tcPr>
            <w:tcW w:w="14091"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2022年部门支出预算表</w:t>
            </w:r>
          </w:p>
        </w:tc>
      </w:tr>
      <w:tr>
        <w:tblPrEx>
          <w:tblCellMar>
            <w:top w:w="15" w:type="dxa"/>
            <w:left w:w="15" w:type="dxa"/>
            <w:bottom w:w="15" w:type="dxa"/>
            <w:right w:w="15" w:type="dxa"/>
          </w:tblCellMar>
        </w:tblPrEx>
        <w:trPr>
          <w:trHeight w:val="286" w:hRule="atLeast"/>
        </w:trPr>
        <w:tc>
          <w:tcPr>
            <w:tcW w:w="2105"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0261" w:type="dxa"/>
            <w:gridSpan w:val="1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725"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210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22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450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33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15" w:type="dxa"/>
            <w:left w:w="15" w:type="dxa"/>
            <w:bottom w:w="15" w:type="dxa"/>
            <w:right w:w="15" w:type="dxa"/>
          </w:tblCellMar>
        </w:tblPrEx>
        <w:trPr>
          <w:trHeight w:val="286" w:hRule="atLeast"/>
        </w:trPr>
        <w:tc>
          <w:tcPr>
            <w:tcW w:w="210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19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15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15" w:type="dxa"/>
            <w:left w:w="15" w:type="dxa"/>
            <w:bottom w:w="15" w:type="dxa"/>
            <w:right w:w="15" w:type="dxa"/>
          </w:tblCellMar>
        </w:tblPrEx>
        <w:trPr>
          <w:trHeight w:val="675"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合计</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181.63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105.66</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36.18</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39.79</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601</w:t>
            </w: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181.63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105.66</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36.18</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39.79</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02</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事业单位离退休</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9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机关事业单位基本养老保险缴费支出</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210</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行政单位医疗</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210</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其他行政事业单位医疗支出</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行政运行</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113.72</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113.72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70.40</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6.53</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36.79</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信息统计</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12</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粮食财务挂账利息补贴</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13</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粮食财务挂账消化款</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其他粮油物资事务支出</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741.00</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23.00</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718.00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718.00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229</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9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其他支出</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7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
    <w:p/>
    <w:p>
      <w:pPr>
        <w:sectPr>
          <w:footerReference r:id="rId8" w:type="default"/>
          <w:pgSz w:w="16838" w:h="11906" w:orient="landscape"/>
          <w:pgMar w:top="1066" w:right="1553" w:bottom="1123" w:left="1553" w:header="851" w:footer="992" w:gutter="0"/>
          <w:pgNumType w:fmt="numberInDash"/>
          <w:cols w:space="720" w:num="1"/>
          <w:docGrid w:type="lines" w:linePitch="312" w:charSpace="0"/>
        </w:sectPr>
      </w:pPr>
    </w:p>
    <w:tbl>
      <w:tblPr>
        <w:tblStyle w:val="4"/>
        <w:tblpPr w:leftFromText="180" w:rightFromText="180" w:vertAnchor="text" w:horzAnchor="page" w:tblpX="1536" w:tblpY="22"/>
        <w:tblOverlap w:val="never"/>
        <w:tblW w:w="14114" w:type="dxa"/>
        <w:tblInd w:w="0" w:type="dxa"/>
        <w:tblLayout w:type="fixed"/>
        <w:tblCellMar>
          <w:top w:w="15" w:type="dxa"/>
          <w:left w:w="15" w:type="dxa"/>
          <w:bottom w:w="15" w:type="dxa"/>
          <w:right w:w="15" w:type="dxa"/>
        </w:tblCellMar>
      </w:tblPr>
      <w:tblGrid>
        <w:gridCol w:w="2307"/>
        <w:gridCol w:w="2342"/>
        <w:gridCol w:w="2423"/>
        <w:gridCol w:w="1096"/>
        <w:gridCol w:w="1650"/>
        <w:gridCol w:w="1321"/>
        <w:gridCol w:w="902"/>
        <w:gridCol w:w="2073"/>
      </w:tblGrid>
      <w:tr>
        <w:tblPrEx>
          <w:tblCellMar>
            <w:top w:w="15" w:type="dxa"/>
            <w:left w:w="15" w:type="dxa"/>
            <w:bottom w:w="15" w:type="dxa"/>
            <w:right w:w="15" w:type="dxa"/>
          </w:tblCellMar>
        </w:tblPrEx>
        <w:trPr>
          <w:trHeight w:val="309" w:hRule="atLeast"/>
        </w:trPr>
        <w:tc>
          <w:tcPr>
            <w:tcW w:w="14114" w:type="dxa"/>
            <w:gridSpan w:val="8"/>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预算04表</w:t>
            </w:r>
          </w:p>
        </w:tc>
      </w:tr>
      <w:tr>
        <w:tblPrEx>
          <w:tblCellMar>
            <w:top w:w="15" w:type="dxa"/>
            <w:left w:w="15" w:type="dxa"/>
            <w:bottom w:w="15" w:type="dxa"/>
            <w:right w:w="15" w:type="dxa"/>
          </w:tblCellMar>
        </w:tblPrEx>
        <w:trPr>
          <w:trHeight w:val="429" w:hRule="atLeast"/>
        </w:trPr>
        <w:tc>
          <w:tcPr>
            <w:tcW w:w="14114" w:type="dxa"/>
            <w:gridSpan w:val="8"/>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2022年财政拨款收支预算表</w:t>
            </w:r>
          </w:p>
        </w:tc>
      </w:tr>
      <w:tr>
        <w:tblPrEx>
          <w:tblCellMar>
            <w:top w:w="15" w:type="dxa"/>
            <w:left w:w="15" w:type="dxa"/>
            <w:bottom w:w="15" w:type="dxa"/>
            <w:right w:w="15" w:type="dxa"/>
          </w:tblCellMar>
        </w:tblPrEx>
        <w:trPr>
          <w:trHeight w:val="402" w:hRule="atLeast"/>
        </w:trPr>
        <w:tc>
          <w:tcPr>
            <w:tcW w:w="2307" w:type="dxa"/>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9734" w:type="dxa"/>
            <w:gridSpan w:val="6"/>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2073"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65" w:hRule="atLeast"/>
        </w:trPr>
        <w:tc>
          <w:tcPr>
            <w:tcW w:w="46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收入  </w:t>
            </w:r>
          </w:p>
        </w:tc>
        <w:tc>
          <w:tcPr>
            <w:tcW w:w="946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支出  </w:t>
            </w:r>
          </w:p>
        </w:tc>
      </w:tr>
      <w:tr>
        <w:tblPrEx>
          <w:tblCellMar>
            <w:top w:w="15" w:type="dxa"/>
            <w:left w:w="15" w:type="dxa"/>
            <w:bottom w:w="15" w:type="dxa"/>
            <w:right w:w="15" w:type="dxa"/>
          </w:tblCellMar>
        </w:tblPrEx>
        <w:trPr>
          <w:trHeight w:val="265" w:hRule="atLeast"/>
        </w:trPr>
        <w:tc>
          <w:tcPr>
            <w:tcW w:w="23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 目  </w:t>
            </w:r>
          </w:p>
        </w:tc>
        <w:tc>
          <w:tcPr>
            <w:tcW w:w="23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金　额</w:t>
            </w:r>
          </w:p>
        </w:tc>
        <w:tc>
          <w:tcPr>
            <w:tcW w:w="24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 目  </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2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一般公共预算  </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政府性基金  </w:t>
            </w:r>
          </w:p>
        </w:tc>
        <w:tc>
          <w:tcPr>
            <w:tcW w:w="20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r>
      <w:tr>
        <w:tblPrEx>
          <w:tblCellMar>
            <w:top w:w="15" w:type="dxa"/>
            <w:left w:w="15" w:type="dxa"/>
            <w:bottom w:w="15" w:type="dxa"/>
            <w:right w:w="15" w:type="dxa"/>
          </w:tblCellMar>
        </w:tblPrEx>
        <w:trPr>
          <w:trHeight w:val="265" w:hRule="atLeast"/>
        </w:trPr>
        <w:tc>
          <w:tcPr>
            <w:tcW w:w="23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小计  </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一、本年收入</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560.63</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其中：财政拨款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560.63</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（二）外交支出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二、上年结转</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（七）文化体育旅游与传媒支出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23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39.77</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39.77</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（九）医疗卫生与计划生育支出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5.14</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515.72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515.72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515.72</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3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二、年终结转结余</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30.00</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65" w:hRule="atLeast"/>
        </w:trPr>
        <w:tc>
          <w:tcPr>
            <w:tcW w:w="23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收入合计</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24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支出合计</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590.63</w:t>
            </w:r>
          </w:p>
        </w:tc>
        <w:tc>
          <w:tcPr>
            <w:tcW w:w="9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
    <w:p>
      <w:pPr>
        <w:sectPr>
          <w:pgSz w:w="16838" w:h="11906" w:orient="landscape"/>
          <w:pgMar w:top="1066" w:right="1553" w:bottom="1123" w:left="1553" w:header="851" w:footer="992" w:gutter="0"/>
          <w:pgNumType w:fmt="numberInDash"/>
          <w:cols w:space="720" w:num="1"/>
          <w:docGrid w:type="lines" w:linePitch="312" w:charSpace="0"/>
        </w:sectPr>
      </w:pPr>
    </w:p>
    <w:tbl>
      <w:tblPr>
        <w:tblStyle w:val="4"/>
        <w:tblpPr w:leftFromText="180" w:rightFromText="180" w:vertAnchor="text" w:horzAnchor="page" w:tblpX="1550" w:tblpY="38"/>
        <w:tblOverlap w:val="never"/>
        <w:tblW w:w="14115" w:type="dxa"/>
        <w:tblInd w:w="0" w:type="dxa"/>
        <w:tblLayout w:type="fixed"/>
        <w:tblCellMar>
          <w:top w:w="15" w:type="dxa"/>
          <w:left w:w="15" w:type="dxa"/>
          <w:bottom w:w="15" w:type="dxa"/>
          <w:right w:w="15" w:type="dxa"/>
        </w:tblCellMar>
      </w:tblPr>
      <w:tblGrid>
        <w:gridCol w:w="589"/>
        <w:gridCol w:w="553"/>
        <w:gridCol w:w="652"/>
        <w:gridCol w:w="572"/>
        <w:gridCol w:w="2513"/>
        <w:gridCol w:w="1423"/>
        <w:gridCol w:w="1152"/>
        <w:gridCol w:w="1013"/>
        <w:gridCol w:w="1145"/>
        <w:gridCol w:w="1145"/>
        <w:gridCol w:w="721"/>
        <w:gridCol w:w="757"/>
        <w:gridCol w:w="740"/>
        <w:gridCol w:w="1140"/>
      </w:tblGrid>
      <w:tr>
        <w:tblPrEx>
          <w:tblCellMar>
            <w:top w:w="15" w:type="dxa"/>
            <w:left w:w="15" w:type="dxa"/>
            <w:bottom w:w="15" w:type="dxa"/>
            <w:right w:w="15" w:type="dxa"/>
          </w:tblCellMar>
        </w:tblPrEx>
        <w:trPr>
          <w:trHeight w:val="286" w:hRule="atLeast"/>
        </w:trPr>
        <w:tc>
          <w:tcPr>
            <w:tcW w:w="14115" w:type="dxa"/>
            <w:gridSpan w:val="14"/>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预算05表</w:t>
            </w:r>
          </w:p>
        </w:tc>
      </w:tr>
      <w:tr>
        <w:tblPrEx>
          <w:tblCellMar>
            <w:top w:w="15" w:type="dxa"/>
            <w:left w:w="15" w:type="dxa"/>
            <w:bottom w:w="15" w:type="dxa"/>
            <w:right w:w="15" w:type="dxa"/>
          </w:tblCellMar>
        </w:tblPrEx>
        <w:trPr>
          <w:trHeight w:val="384" w:hRule="atLeast"/>
        </w:trPr>
        <w:tc>
          <w:tcPr>
            <w:tcW w:w="14115"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2022年一般公共预算支出预算表</w:t>
            </w:r>
          </w:p>
        </w:tc>
      </w:tr>
      <w:tr>
        <w:tblPrEx>
          <w:tblCellMar>
            <w:top w:w="15" w:type="dxa"/>
            <w:left w:w="15" w:type="dxa"/>
            <w:bottom w:w="15" w:type="dxa"/>
            <w:right w:w="15" w:type="dxa"/>
          </w:tblCellMar>
        </w:tblPrEx>
        <w:trPr>
          <w:trHeight w:val="147" w:hRule="atLeast"/>
        </w:trPr>
        <w:tc>
          <w:tcPr>
            <w:tcW w:w="1794"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部门名称：</w:t>
            </w:r>
          </w:p>
        </w:tc>
        <w:tc>
          <w:tcPr>
            <w:tcW w:w="11181" w:type="dxa"/>
            <w:gridSpan w:val="1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140"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179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25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14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17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26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15" w:type="dxa"/>
            <w:left w:w="15" w:type="dxa"/>
            <w:bottom w:w="15" w:type="dxa"/>
            <w:right w:w="15" w:type="dxa"/>
          </w:tblCellMar>
        </w:tblPrEx>
        <w:trPr>
          <w:trHeight w:val="286"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21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15" w:type="dxa"/>
            <w:left w:w="15" w:type="dxa"/>
            <w:bottom w:w="15" w:type="dxa"/>
            <w:right w:w="15" w:type="dxa"/>
          </w:tblCellMar>
        </w:tblPrEx>
        <w:trPr>
          <w:trHeight w:val="239"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35"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181.63</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105.66</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36.18</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39.79</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44"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601</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181.63</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105.66</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36.18</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39.79</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197"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02</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事业单位离退休</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29.65</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208</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机关事业单位基本养老保险缴费支出</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210</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行政单位医疗</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210</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其他行政事业单位医疗支出</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行政运行</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113.72</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113.72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70.40</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6.53</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36.79</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05</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信息统计</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12</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粮食财务挂账利息补贴</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13</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粮食财务挂账消化款</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85.00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222</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其他粮油物资事务支出</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741.00</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23.00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718.00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718.00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229</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其他支出</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562.00</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
    <w:p/>
    <w:p/>
    <w:p/>
    <w:p/>
    <w:p/>
    <w:tbl>
      <w:tblPr>
        <w:tblStyle w:val="4"/>
        <w:tblpPr w:leftFromText="180" w:rightFromText="180" w:vertAnchor="text" w:horzAnchor="page" w:tblpX="1460" w:tblpY="-65"/>
        <w:tblOverlap w:val="never"/>
        <w:tblW w:w="14175" w:type="dxa"/>
        <w:tblInd w:w="0" w:type="dxa"/>
        <w:tblLayout w:type="fixed"/>
        <w:tblCellMar>
          <w:top w:w="15" w:type="dxa"/>
          <w:left w:w="15" w:type="dxa"/>
          <w:bottom w:w="15" w:type="dxa"/>
          <w:right w:w="15" w:type="dxa"/>
        </w:tblCellMar>
      </w:tblPr>
      <w:tblGrid>
        <w:gridCol w:w="1033"/>
        <w:gridCol w:w="3024"/>
        <w:gridCol w:w="871"/>
        <w:gridCol w:w="2216"/>
        <w:gridCol w:w="2725"/>
        <w:gridCol w:w="1913"/>
        <w:gridCol w:w="2393"/>
      </w:tblGrid>
      <w:tr>
        <w:tblPrEx>
          <w:tblCellMar>
            <w:top w:w="15" w:type="dxa"/>
            <w:left w:w="15" w:type="dxa"/>
            <w:bottom w:w="15" w:type="dxa"/>
            <w:right w:w="15" w:type="dxa"/>
          </w:tblCellMar>
        </w:tblPrEx>
        <w:trPr>
          <w:trHeight w:val="286" w:hRule="atLeast"/>
        </w:trPr>
        <w:tc>
          <w:tcPr>
            <w:tcW w:w="14175" w:type="dxa"/>
            <w:gridSpan w:val="7"/>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预算06表</w:t>
            </w:r>
          </w:p>
        </w:tc>
      </w:tr>
      <w:tr>
        <w:tblPrEx>
          <w:tblCellMar>
            <w:top w:w="15" w:type="dxa"/>
            <w:left w:w="15" w:type="dxa"/>
            <w:bottom w:w="15" w:type="dxa"/>
            <w:right w:w="15" w:type="dxa"/>
          </w:tblCellMar>
        </w:tblPrEx>
        <w:trPr>
          <w:trHeight w:val="533" w:hRule="atLeast"/>
        </w:trPr>
        <w:tc>
          <w:tcPr>
            <w:tcW w:w="14175" w:type="dxa"/>
            <w:gridSpan w:val="7"/>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2022年一般公共预算基本支出预算表</w:t>
            </w:r>
          </w:p>
        </w:tc>
      </w:tr>
      <w:tr>
        <w:tblPrEx>
          <w:tblCellMar>
            <w:top w:w="15" w:type="dxa"/>
            <w:left w:w="15" w:type="dxa"/>
            <w:bottom w:w="15" w:type="dxa"/>
            <w:right w:w="15" w:type="dxa"/>
          </w:tblCellMar>
        </w:tblPrEx>
        <w:trPr>
          <w:trHeight w:val="237" w:hRule="atLeast"/>
        </w:trPr>
        <w:tc>
          <w:tcPr>
            <w:tcW w:w="1033" w:type="dxa"/>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0749" w:type="dxa"/>
            <w:gridSpan w:val="5"/>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2393"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40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部门预算支出经济分类科目</w:t>
            </w:r>
          </w:p>
        </w:tc>
        <w:tc>
          <w:tcPr>
            <w:tcW w:w="30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政府预算支出经济分类科目</w:t>
            </w:r>
          </w:p>
        </w:tc>
        <w:tc>
          <w:tcPr>
            <w:tcW w:w="703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本年一般公共预算基本支出</w:t>
            </w:r>
          </w:p>
        </w:tc>
      </w:tr>
      <w:tr>
        <w:tblPrEx>
          <w:tblCellMar>
            <w:top w:w="15" w:type="dxa"/>
            <w:left w:w="15" w:type="dxa"/>
            <w:bottom w:w="15" w:type="dxa"/>
            <w:right w:w="15" w:type="dxa"/>
          </w:tblCellMar>
        </w:tblPrEx>
        <w:trPr>
          <w:trHeight w:val="242"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r>
      <w:tr>
        <w:tblPrEx>
          <w:tblCellMar>
            <w:top w:w="15" w:type="dxa"/>
            <w:left w:w="15" w:type="dxa"/>
            <w:bottom w:w="15" w:type="dxa"/>
            <w:right w:w="15" w:type="dxa"/>
          </w:tblCellMar>
        </w:tblPrEx>
        <w:trPr>
          <w:trHeight w:val="167"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合计</w:t>
            </w:r>
          </w:p>
        </w:tc>
        <w:tc>
          <w:tcPr>
            <w:tcW w:w="30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1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181.63</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141.84</w:t>
            </w: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39.79</w:t>
            </w:r>
          </w:p>
        </w:tc>
      </w:tr>
      <w:tr>
        <w:tblPrEx>
          <w:tblCellMar>
            <w:top w:w="15" w:type="dxa"/>
            <w:left w:w="15" w:type="dxa"/>
            <w:bottom w:w="15" w:type="dxa"/>
            <w:right w:w="15" w:type="dxa"/>
          </w:tblCellMar>
        </w:tblPrEx>
        <w:trPr>
          <w:trHeight w:val="47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30301</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离休费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50905</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离退休费</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13.03</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13.03</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657"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30399</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其他对个人和家庭的补助</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50999</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其他对个人和家庭补助</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16.71</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16.71</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30302</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退休费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50905</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离退休费</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6.44</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6.44</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7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30108</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机关事业单位基本养老保险缴费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7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30110</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职工基本医疗保险缴费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9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30112</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其他社会保障缴费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51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30199</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其他工资福利支出</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20.20</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20.20</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616"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30107</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绩效工资</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7.68</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7.68</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30102</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津贴补贴</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15.45</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15.45</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555"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30101</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基本工资</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50501</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47.07</w:t>
            </w:r>
          </w:p>
        </w:tc>
        <w:tc>
          <w:tcPr>
            <w:tcW w:w="19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47.07</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575"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30228</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工会经费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0.70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0.70</w:t>
            </w:r>
          </w:p>
        </w:tc>
      </w:tr>
      <w:tr>
        <w:tblPrEx>
          <w:tblCellMar>
            <w:top w:w="15" w:type="dxa"/>
            <w:left w:w="15" w:type="dxa"/>
            <w:bottom w:w="15" w:type="dxa"/>
            <w:right w:w="15" w:type="dxa"/>
          </w:tblCellMar>
        </w:tblPrEx>
        <w:trPr>
          <w:trHeight w:val="697"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30207</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邮电费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w:t>
            </w:r>
          </w:p>
        </w:tc>
      </w:tr>
      <w:tr>
        <w:tblPrEx>
          <w:tblCellMar>
            <w:top w:w="15" w:type="dxa"/>
            <w:left w:w="15" w:type="dxa"/>
            <w:bottom w:w="15" w:type="dxa"/>
            <w:right w:w="15" w:type="dxa"/>
          </w:tblCellMar>
        </w:tblPrEx>
        <w:trPr>
          <w:trHeight w:val="51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30213</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维修(护)费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r>
      <w:tr>
        <w:tblPrEx>
          <w:tblCellMar>
            <w:top w:w="15" w:type="dxa"/>
            <w:left w:w="15" w:type="dxa"/>
            <w:bottom w:w="15" w:type="dxa"/>
            <w:right w:w="15" w:type="dxa"/>
          </w:tblCellMar>
        </w:tblPrEx>
        <w:trPr>
          <w:trHeight w:val="575"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30201</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办公费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r>
      <w:tr>
        <w:tblPrEx>
          <w:tblCellMar>
            <w:top w:w="15" w:type="dxa"/>
            <w:left w:w="15" w:type="dxa"/>
            <w:bottom w:w="15" w:type="dxa"/>
            <w:right w:w="15" w:type="dxa"/>
          </w:tblCellMar>
        </w:tblPrEx>
        <w:trPr>
          <w:trHeight w:val="45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30211</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差旅费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2.50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2.50</w:t>
            </w:r>
          </w:p>
        </w:tc>
      </w:tr>
      <w:tr>
        <w:tblPrEx>
          <w:tblCellMar>
            <w:top w:w="15" w:type="dxa"/>
            <w:left w:w="15" w:type="dxa"/>
            <w:bottom w:w="15" w:type="dxa"/>
            <w:right w:w="15" w:type="dxa"/>
          </w:tblCellMar>
        </w:tblPrEx>
        <w:trPr>
          <w:trHeight w:val="55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30205</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水费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0.50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0.50</w:t>
            </w:r>
          </w:p>
        </w:tc>
      </w:tr>
      <w:tr>
        <w:tblPrEx>
          <w:tblCellMar>
            <w:top w:w="15" w:type="dxa"/>
            <w:left w:w="15" w:type="dxa"/>
            <w:bottom w:w="15" w:type="dxa"/>
            <w:right w:w="15" w:type="dxa"/>
          </w:tblCellMar>
        </w:tblPrEx>
        <w:trPr>
          <w:trHeight w:val="494"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30206</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电费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r>
      <w:tr>
        <w:tblPrEx>
          <w:tblCellMar>
            <w:top w:w="15" w:type="dxa"/>
            <w:left w:w="15" w:type="dxa"/>
            <w:bottom w:w="15" w:type="dxa"/>
            <w:right w:w="15" w:type="dxa"/>
          </w:tblCellMar>
        </w:tblPrEx>
        <w:trPr>
          <w:trHeight w:val="636"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30202</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印刷费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r>
      <w:tr>
        <w:tblPrEx>
          <w:tblCellMar>
            <w:top w:w="15" w:type="dxa"/>
            <w:left w:w="15" w:type="dxa"/>
            <w:bottom w:w="15" w:type="dxa"/>
            <w:right w:w="15" w:type="dxa"/>
          </w:tblCellMar>
        </w:tblPrEx>
        <w:trPr>
          <w:trHeight w:val="453"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30229</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福利费</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1.09</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1.09</w:t>
            </w:r>
          </w:p>
        </w:tc>
      </w:tr>
      <w:tr>
        <w:tblPrEx>
          <w:tblCellMar>
            <w:top w:w="15" w:type="dxa"/>
            <w:left w:w="15" w:type="dxa"/>
            <w:bottom w:w="15" w:type="dxa"/>
            <w:right w:w="15"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0299</w:t>
            </w:r>
          </w:p>
          <w:p>
            <w:pPr>
              <w:widowControl/>
              <w:jc w:val="left"/>
              <w:textAlignment w:val="center"/>
              <w:rPr>
                <w:rFonts w:ascii="宋体" w:hAnsi="宋体" w:cs="宋体"/>
                <w:color w:val="000000"/>
                <w:sz w:val="18"/>
                <w:szCs w:val="18"/>
              </w:rPr>
            </w:pP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其他商品和服务支出</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50502</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27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r>
    </w:tbl>
    <w:p/>
    <w:p/>
    <w:p/>
    <w:p/>
    <w:p/>
    <w:p/>
    <w:p/>
    <w:p/>
    <w:p/>
    <w:p/>
    <w:p/>
    <w:p/>
    <w:p/>
    <w:p/>
    <w:p/>
    <w:tbl>
      <w:tblPr>
        <w:tblStyle w:val="4"/>
        <w:tblpPr w:leftFromText="180" w:rightFromText="180" w:vertAnchor="text" w:horzAnchor="page" w:tblpX="1355" w:tblpY="-58"/>
        <w:tblOverlap w:val="never"/>
        <w:tblW w:w="14325" w:type="dxa"/>
        <w:tblInd w:w="0" w:type="dxa"/>
        <w:tblLayout w:type="fixed"/>
        <w:tblCellMar>
          <w:top w:w="15" w:type="dxa"/>
          <w:left w:w="15" w:type="dxa"/>
          <w:bottom w:w="15" w:type="dxa"/>
          <w:right w:w="15" w:type="dxa"/>
        </w:tblCellMar>
      </w:tblPr>
      <w:tblGrid>
        <w:gridCol w:w="825"/>
        <w:gridCol w:w="885"/>
        <w:gridCol w:w="1950"/>
        <w:gridCol w:w="435"/>
        <w:gridCol w:w="735"/>
        <w:gridCol w:w="1290"/>
        <w:gridCol w:w="900"/>
        <w:gridCol w:w="810"/>
        <w:gridCol w:w="1095"/>
        <w:gridCol w:w="420"/>
        <w:gridCol w:w="810"/>
        <w:gridCol w:w="585"/>
        <w:gridCol w:w="960"/>
        <w:gridCol w:w="480"/>
        <w:gridCol w:w="480"/>
        <w:gridCol w:w="510"/>
        <w:gridCol w:w="240"/>
        <w:gridCol w:w="915"/>
      </w:tblGrid>
      <w:tr>
        <w:tblPrEx>
          <w:tblCellMar>
            <w:top w:w="15" w:type="dxa"/>
            <w:left w:w="15" w:type="dxa"/>
            <w:bottom w:w="15" w:type="dxa"/>
            <w:right w:w="15" w:type="dxa"/>
          </w:tblCellMar>
        </w:tblPrEx>
        <w:trPr>
          <w:trHeight w:val="286" w:hRule="atLeast"/>
        </w:trPr>
        <w:tc>
          <w:tcPr>
            <w:tcW w:w="14325" w:type="dxa"/>
            <w:gridSpan w:val="18"/>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预算07表</w:t>
            </w:r>
          </w:p>
        </w:tc>
      </w:tr>
      <w:tr>
        <w:tblPrEx>
          <w:tblCellMar>
            <w:top w:w="15" w:type="dxa"/>
            <w:left w:w="15" w:type="dxa"/>
            <w:bottom w:w="15" w:type="dxa"/>
            <w:right w:w="15" w:type="dxa"/>
          </w:tblCellMar>
        </w:tblPrEx>
        <w:trPr>
          <w:trHeight w:val="429" w:hRule="atLeast"/>
        </w:trPr>
        <w:tc>
          <w:tcPr>
            <w:tcW w:w="14325" w:type="dxa"/>
            <w:gridSpan w:val="18"/>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2022年支出经济分类汇总表</w:t>
            </w:r>
          </w:p>
        </w:tc>
      </w:tr>
      <w:tr>
        <w:tblPrEx>
          <w:tblCellMar>
            <w:top w:w="15" w:type="dxa"/>
            <w:left w:w="15" w:type="dxa"/>
            <w:bottom w:w="15" w:type="dxa"/>
            <w:right w:w="15" w:type="dxa"/>
          </w:tblCellMar>
        </w:tblPrEx>
        <w:trPr>
          <w:trHeight w:val="286" w:hRule="atLeast"/>
        </w:trPr>
        <w:tc>
          <w:tcPr>
            <w:tcW w:w="3660"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部门名称：  </w:t>
            </w:r>
          </w:p>
        </w:tc>
        <w:tc>
          <w:tcPr>
            <w:tcW w:w="9750" w:type="dxa"/>
            <w:gridSpan w:val="14"/>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915"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36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部门预算经济分类  </w:t>
            </w:r>
          </w:p>
        </w:tc>
        <w:tc>
          <w:tcPr>
            <w:tcW w:w="24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政府预算经济分类</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总计</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上年结转结余</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财政专户管理资金收入</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事业收入</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上级补助收入</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附属单位上缴收入</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事业单位经营收入</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其他收入  </w:t>
            </w: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类</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类</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560.63</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1570.63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1122.63</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560.63</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离休费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离退休费</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13.03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13.03</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13.03</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其他对个人和家庭的补助</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其他对个人和家庭补助</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16.71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16.71</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16.71</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303</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退休费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509</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离退休费</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6.44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6.44</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6.44</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08</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机关事业单位基本养老保险缴费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10.12</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职工基本医疗保险缴费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4.75</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其他社会保障缴费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0.39</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其他工资福利支出</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20.20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20.20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20.20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07</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绩效工资</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7.68</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7.68</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7.68</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津贴补贴</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15.45</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15.45</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15.45</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301</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基本工资</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47.07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47.07</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47.07</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28</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工会经费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0.70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0.70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0.70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07</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邮电费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维修(护)费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01</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办公费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11</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差旅费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2.50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2.50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2.50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05</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水费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0.50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0.50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0.50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06</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电费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印刷费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316"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29</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福利费</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1.09</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1.09</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312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其他对企业补助</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507</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其他对企业补助</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941.00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379.00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302</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其他商品和服务支出</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505</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3.00</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
    <w:p/>
    <w:p/>
    <w:p/>
    <w:p/>
    <w:p/>
    <w:p/>
    <w:p/>
    <w:p/>
    <w:p/>
    <w:p/>
    <w:p/>
    <w:p/>
    <w:p/>
    <w:p/>
    <w:p/>
    <w:tbl>
      <w:tblPr>
        <w:tblStyle w:val="4"/>
        <w:tblpPr w:leftFromText="180" w:rightFromText="180" w:vertAnchor="text" w:horzAnchor="page" w:tblpX="1475" w:tblpY="100"/>
        <w:tblOverlap w:val="never"/>
        <w:tblW w:w="14175" w:type="dxa"/>
        <w:tblInd w:w="0" w:type="dxa"/>
        <w:tblLayout w:type="fixed"/>
        <w:tblCellMar>
          <w:top w:w="15" w:type="dxa"/>
          <w:left w:w="15" w:type="dxa"/>
          <w:bottom w:w="15" w:type="dxa"/>
          <w:right w:w="15" w:type="dxa"/>
        </w:tblCellMar>
      </w:tblPr>
      <w:tblGrid>
        <w:gridCol w:w="2033"/>
        <w:gridCol w:w="3157"/>
        <w:gridCol w:w="1710"/>
        <w:gridCol w:w="3090"/>
        <w:gridCol w:w="2610"/>
        <w:gridCol w:w="1575"/>
      </w:tblGrid>
      <w:tr>
        <w:tblPrEx>
          <w:tblCellMar>
            <w:top w:w="15" w:type="dxa"/>
            <w:left w:w="15" w:type="dxa"/>
            <w:bottom w:w="15" w:type="dxa"/>
            <w:right w:w="15" w:type="dxa"/>
          </w:tblCellMar>
        </w:tblPrEx>
        <w:trPr>
          <w:trHeight w:val="286" w:hRule="atLeast"/>
        </w:trPr>
        <w:tc>
          <w:tcPr>
            <w:tcW w:w="14175" w:type="dxa"/>
            <w:gridSpan w:val="6"/>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预算08表</w:t>
            </w:r>
          </w:p>
        </w:tc>
      </w:tr>
      <w:tr>
        <w:tblPrEx>
          <w:tblCellMar>
            <w:top w:w="15" w:type="dxa"/>
            <w:left w:w="15" w:type="dxa"/>
            <w:bottom w:w="15" w:type="dxa"/>
            <w:right w:w="15" w:type="dxa"/>
          </w:tblCellMar>
        </w:tblPrEx>
        <w:trPr>
          <w:trHeight w:val="555" w:hRule="atLeast"/>
        </w:trPr>
        <w:tc>
          <w:tcPr>
            <w:tcW w:w="14175" w:type="dxa"/>
            <w:gridSpan w:val="6"/>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2022年一般公共预算“三公”经费预算表</w:t>
            </w:r>
          </w:p>
        </w:tc>
      </w:tr>
      <w:tr>
        <w:tblPrEx>
          <w:tblCellMar>
            <w:top w:w="15" w:type="dxa"/>
            <w:left w:w="15" w:type="dxa"/>
            <w:bottom w:w="15" w:type="dxa"/>
            <w:right w:w="15" w:type="dxa"/>
          </w:tblCellMar>
        </w:tblPrEx>
        <w:trPr>
          <w:trHeight w:val="286" w:hRule="atLeast"/>
        </w:trPr>
        <w:tc>
          <w:tcPr>
            <w:tcW w:w="2033" w:type="dxa"/>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0567" w:type="dxa"/>
            <w:gridSpan w:val="4"/>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575"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20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“三公”经费合计</w:t>
            </w:r>
          </w:p>
        </w:tc>
        <w:tc>
          <w:tcPr>
            <w:tcW w:w="31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因公出国（境）费</w:t>
            </w:r>
          </w:p>
        </w:tc>
        <w:tc>
          <w:tcPr>
            <w:tcW w:w="741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公务用车购置及运行费</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公务接待费</w:t>
            </w:r>
          </w:p>
        </w:tc>
      </w:tr>
      <w:tr>
        <w:tblPrEx>
          <w:tblCellMar>
            <w:top w:w="15" w:type="dxa"/>
            <w:left w:w="15" w:type="dxa"/>
            <w:bottom w:w="15" w:type="dxa"/>
            <w:right w:w="15" w:type="dxa"/>
          </w:tblCellMar>
        </w:tblPrEx>
        <w:trPr>
          <w:trHeight w:val="286" w:hRule="atLeast"/>
        </w:trPr>
        <w:tc>
          <w:tcPr>
            <w:tcW w:w="20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1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公务用车购置费</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公务用车运行费</w:t>
            </w: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20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1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6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1441" w:hRule="atLeast"/>
        </w:trPr>
        <w:tc>
          <w:tcPr>
            <w:tcW w:w="14175" w:type="dxa"/>
            <w:gridSpan w:val="6"/>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p>
            <w:pPr>
              <w:widowControl/>
              <w:jc w:val="left"/>
              <w:textAlignment w:val="center"/>
              <w:rPr>
                <w:rFonts w:ascii="宋体" w:hAnsi="宋体" w:cs="宋体"/>
                <w:color w:val="000000"/>
                <w:kern w:val="0"/>
                <w:sz w:val="18"/>
                <w:szCs w:val="18"/>
              </w:rPr>
            </w:pPr>
            <w:r>
              <w:rPr>
                <w:rFonts w:hint="eastAsia"/>
              </w:rPr>
              <w:t>注：伊川县粮食和物资储备中心2023年无“三公“经费预算拨款安排的支出，故此表无数据。</w:t>
            </w:r>
          </w:p>
        </w:tc>
      </w:tr>
    </w:tbl>
    <w:p/>
    <w:p/>
    <w:p/>
    <w:p/>
    <w:p/>
    <w:p/>
    <w:p/>
    <w:p/>
    <w:p/>
    <w:p/>
    <w:p/>
    <w:p/>
    <w:p/>
    <w:p/>
    <w:p/>
    <w:p/>
    <w:p/>
    <w:p/>
    <w:tbl>
      <w:tblPr>
        <w:tblStyle w:val="4"/>
        <w:tblpPr w:leftFromText="180" w:rightFromText="180" w:vertAnchor="text" w:horzAnchor="page" w:tblpX="1550" w:tblpY="67"/>
        <w:tblOverlap w:val="never"/>
        <w:tblW w:w="14115" w:type="dxa"/>
        <w:tblInd w:w="0" w:type="dxa"/>
        <w:tblLayout w:type="fixed"/>
        <w:tblCellMar>
          <w:top w:w="15" w:type="dxa"/>
          <w:left w:w="15" w:type="dxa"/>
          <w:bottom w:w="15" w:type="dxa"/>
          <w:right w:w="15" w:type="dxa"/>
        </w:tblCellMar>
      </w:tblPr>
      <w:tblGrid>
        <w:gridCol w:w="479"/>
        <w:gridCol w:w="629"/>
        <w:gridCol w:w="659"/>
        <w:gridCol w:w="1182"/>
        <w:gridCol w:w="1917"/>
        <w:gridCol w:w="864"/>
        <w:gridCol w:w="825"/>
        <w:gridCol w:w="1305"/>
        <w:gridCol w:w="960"/>
        <w:gridCol w:w="1455"/>
        <w:gridCol w:w="840"/>
        <w:gridCol w:w="855"/>
        <w:gridCol w:w="945"/>
        <w:gridCol w:w="1200"/>
      </w:tblGrid>
      <w:tr>
        <w:tblPrEx>
          <w:tblCellMar>
            <w:top w:w="15" w:type="dxa"/>
            <w:left w:w="15" w:type="dxa"/>
            <w:bottom w:w="15" w:type="dxa"/>
            <w:right w:w="15" w:type="dxa"/>
          </w:tblCellMar>
        </w:tblPrEx>
        <w:trPr>
          <w:trHeight w:val="286" w:hRule="atLeast"/>
        </w:trPr>
        <w:tc>
          <w:tcPr>
            <w:tcW w:w="14115" w:type="dxa"/>
            <w:gridSpan w:val="14"/>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预算09表</w:t>
            </w:r>
          </w:p>
        </w:tc>
      </w:tr>
      <w:tr>
        <w:tblPrEx>
          <w:tblCellMar>
            <w:top w:w="15" w:type="dxa"/>
            <w:left w:w="15" w:type="dxa"/>
            <w:bottom w:w="15" w:type="dxa"/>
            <w:right w:w="15" w:type="dxa"/>
          </w:tblCellMar>
        </w:tblPrEx>
        <w:trPr>
          <w:trHeight w:val="555" w:hRule="atLeast"/>
        </w:trPr>
        <w:tc>
          <w:tcPr>
            <w:tcW w:w="14115"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2022年政府性基金支出预算表</w:t>
            </w:r>
          </w:p>
        </w:tc>
      </w:tr>
      <w:tr>
        <w:tblPrEx>
          <w:tblCellMar>
            <w:top w:w="15" w:type="dxa"/>
            <w:left w:w="15" w:type="dxa"/>
            <w:bottom w:w="15" w:type="dxa"/>
            <w:right w:w="15" w:type="dxa"/>
          </w:tblCellMar>
        </w:tblPrEx>
        <w:trPr>
          <w:trHeight w:val="286" w:hRule="atLeast"/>
        </w:trPr>
        <w:tc>
          <w:tcPr>
            <w:tcW w:w="1767"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1148" w:type="dxa"/>
            <w:gridSpan w:val="1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200"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176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11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1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3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3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15" w:type="dxa"/>
            <w:left w:w="15" w:type="dxa"/>
            <w:bottom w:w="15" w:type="dxa"/>
            <w:right w:w="15" w:type="dxa"/>
          </w:tblCellMar>
        </w:tblPrEx>
        <w:trPr>
          <w:trHeight w:val="286" w:hRule="atLeast"/>
        </w:trPr>
        <w:tc>
          <w:tcPr>
            <w:tcW w:w="176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15" w:type="dxa"/>
            <w:left w:w="15" w:type="dxa"/>
            <w:bottom w:w="15" w:type="dxa"/>
            <w:right w:w="15" w:type="dxa"/>
          </w:tblCellMar>
        </w:tblPrEx>
        <w:trPr>
          <w:trHeight w:val="675"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11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2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2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8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832" w:hRule="atLeast"/>
        </w:trPr>
        <w:tc>
          <w:tcPr>
            <w:tcW w:w="479" w:type="dxa"/>
            <w:vAlign w:val="center"/>
          </w:tcPr>
          <w:p>
            <w:pPr>
              <w:rPr>
                <w:rFonts w:ascii="宋体" w:hAnsi="宋体" w:cs="宋体"/>
                <w:color w:val="000000"/>
                <w:sz w:val="18"/>
                <w:szCs w:val="18"/>
              </w:rPr>
            </w:pPr>
          </w:p>
        </w:tc>
        <w:tc>
          <w:tcPr>
            <w:tcW w:w="629" w:type="dxa"/>
            <w:vAlign w:val="center"/>
          </w:tcPr>
          <w:p>
            <w:pPr>
              <w:rPr>
                <w:rFonts w:ascii="宋体" w:hAnsi="宋体" w:cs="宋体"/>
                <w:color w:val="000000"/>
                <w:sz w:val="18"/>
                <w:szCs w:val="18"/>
              </w:rPr>
            </w:pPr>
          </w:p>
        </w:tc>
        <w:tc>
          <w:tcPr>
            <w:tcW w:w="659" w:type="dxa"/>
            <w:vAlign w:val="center"/>
          </w:tcPr>
          <w:p>
            <w:pPr>
              <w:rPr>
                <w:rFonts w:ascii="宋体" w:hAnsi="宋体" w:cs="宋体"/>
                <w:color w:val="000000"/>
                <w:sz w:val="18"/>
                <w:szCs w:val="18"/>
              </w:rPr>
            </w:pPr>
          </w:p>
        </w:tc>
        <w:tc>
          <w:tcPr>
            <w:tcW w:w="1182" w:type="dxa"/>
            <w:vAlign w:val="center"/>
          </w:tcPr>
          <w:p>
            <w:pPr>
              <w:rPr>
                <w:rFonts w:ascii="宋体" w:hAnsi="宋体" w:cs="宋体"/>
                <w:color w:val="000000"/>
                <w:sz w:val="18"/>
                <w:szCs w:val="18"/>
              </w:rPr>
            </w:pPr>
          </w:p>
        </w:tc>
        <w:tc>
          <w:tcPr>
            <w:tcW w:w="1917" w:type="dxa"/>
            <w:vAlign w:val="center"/>
          </w:tcPr>
          <w:p>
            <w:pPr>
              <w:rPr>
                <w:rFonts w:ascii="宋体" w:hAnsi="宋体" w:cs="宋体"/>
                <w:color w:val="000000"/>
                <w:sz w:val="18"/>
                <w:szCs w:val="18"/>
              </w:rPr>
            </w:pPr>
          </w:p>
        </w:tc>
        <w:tc>
          <w:tcPr>
            <w:tcW w:w="864" w:type="dxa"/>
            <w:vAlign w:val="center"/>
          </w:tcPr>
          <w:p>
            <w:pPr>
              <w:rPr>
                <w:rFonts w:ascii="宋体" w:hAnsi="宋体" w:cs="宋体"/>
                <w:color w:val="000000"/>
                <w:sz w:val="22"/>
              </w:rPr>
            </w:pPr>
          </w:p>
        </w:tc>
        <w:tc>
          <w:tcPr>
            <w:tcW w:w="825" w:type="dxa"/>
            <w:vAlign w:val="center"/>
          </w:tcPr>
          <w:p>
            <w:pPr>
              <w:rPr>
                <w:rFonts w:ascii="宋体" w:hAnsi="宋体" w:cs="宋体"/>
                <w:color w:val="000000"/>
                <w:sz w:val="22"/>
              </w:rPr>
            </w:pPr>
          </w:p>
        </w:tc>
        <w:tc>
          <w:tcPr>
            <w:tcW w:w="1305" w:type="dxa"/>
            <w:vAlign w:val="center"/>
          </w:tcPr>
          <w:p>
            <w:pPr>
              <w:rPr>
                <w:rFonts w:ascii="宋体" w:hAnsi="宋体" w:cs="宋体"/>
                <w:color w:val="000000"/>
                <w:sz w:val="22"/>
              </w:rPr>
            </w:pPr>
          </w:p>
        </w:tc>
        <w:tc>
          <w:tcPr>
            <w:tcW w:w="960" w:type="dxa"/>
            <w:vAlign w:val="center"/>
          </w:tcPr>
          <w:p>
            <w:pPr>
              <w:rPr>
                <w:rFonts w:ascii="宋体" w:hAnsi="宋体" w:cs="宋体"/>
                <w:color w:val="000000"/>
                <w:sz w:val="22"/>
              </w:rPr>
            </w:pPr>
          </w:p>
        </w:tc>
        <w:tc>
          <w:tcPr>
            <w:tcW w:w="1455" w:type="dxa"/>
            <w:vAlign w:val="center"/>
          </w:tcPr>
          <w:p>
            <w:pPr>
              <w:rPr>
                <w:rFonts w:ascii="宋体" w:hAnsi="宋体" w:cs="宋体"/>
                <w:color w:val="000000"/>
                <w:sz w:val="22"/>
              </w:rPr>
            </w:pPr>
          </w:p>
        </w:tc>
        <w:tc>
          <w:tcPr>
            <w:tcW w:w="840" w:type="dxa"/>
            <w:vAlign w:val="center"/>
          </w:tcPr>
          <w:p>
            <w:pPr>
              <w:rPr>
                <w:rFonts w:ascii="宋体" w:hAnsi="宋体" w:cs="宋体"/>
                <w:color w:val="000000"/>
                <w:sz w:val="22"/>
              </w:rPr>
            </w:pPr>
          </w:p>
        </w:tc>
        <w:tc>
          <w:tcPr>
            <w:tcW w:w="855" w:type="dxa"/>
            <w:vAlign w:val="center"/>
          </w:tcPr>
          <w:p>
            <w:pPr>
              <w:rPr>
                <w:rFonts w:ascii="宋体" w:hAnsi="宋体" w:cs="宋体"/>
                <w:color w:val="000000"/>
                <w:sz w:val="22"/>
              </w:rPr>
            </w:pPr>
          </w:p>
        </w:tc>
        <w:tc>
          <w:tcPr>
            <w:tcW w:w="945" w:type="dxa"/>
            <w:vAlign w:val="center"/>
          </w:tcPr>
          <w:p>
            <w:pPr>
              <w:rPr>
                <w:rFonts w:ascii="宋体" w:hAnsi="宋体" w:cs="宋体"/>
                <w:color w:val="000000"/>
                <w:sz w:val="22"/>
              </w:rPr>
            </w:pPr>
          </w:p>
        </w:tc>
        <w:tc>
          <w:tcPr>
            <w:tcW w:w="1200" w:type="dxa"/>
            <w:vAlign w:val="center"/>
          </w:tcPr>
          <w:p>
            <w:pPr>
              <w:rPr>
                <w:rFonts w:ascii="宋体" w:hAnsi="宋体" w:cs="宋体"/>
                <w:color w:val="000000"/>
                <w:sz w:val="22"/>
              </w:rPr>
            </w:pPr>
          </w:p>
        </w:tc>
      </w:tr>
    </w:tbl>
    <w:p/>
    <w:p>
      <w:r>
        <w:rPr>
          <w:rFonts w:hint="eastAsia"/>
        </w:rPr>
        <w:t>注：伊川县粮食和物资储备中心2023年无政府性基金预算拨款安排的支出，故此表无数据</w:t>
      </w:r>
    </w:p>
    <w:p/>
    <w:p/>
    <w:p/>
    <w:p/>
    <w:p/>
    <w:p/>
    <w:p/>
    <w:p/>
    <w:p/>
    <w:p/>
    <w:p/>
    <w:p/>
    <w:p/>
    <w:tbl>
      <w:tblPr>
        <w:tblStyle w:val="4"/>
        <w:tblpPr w:leftFromText="180" w:rightFromText="180" w:vertAnchor="text" w:horzAnchor="page" w:tblpX="1460" w:tblpY="-73"/>
        <w:tblOverlap w:val="never"/>
        <w:tblW w:w="14160" w:type="dxa"/>
        <w:tblInd w:w="0" w:type="dxa"/>
        <w:tblLayout w:type="fixed"/>
        <w:tblCellMar>
          <w:top w:w="15" w:type="dxa"/>
          <w:left w:w="15" w:type="dxa"/>
          <w:bottom w:w="15" w:type="dxa"/>
          <w:right w:w="15" w:type="dxa"/>
        </w:tblCellMar>
      </w:tblPr>
      <w:tblGrid>
        <w:gridCol w:w="478"/>
        <w:gridCol w:w="628"/>
        <w:gridCol w:w="658"/>
        <w:gridCol w:w="1180"/>
        <w:gridCol w:w="1076"/>
        <w:gridCol w:w="915"/>
        <w:gridCol w:w="1530"/>
        <w:gridCol w:w="1335"/>
        <w:gridCol w:w="1275"/>
        <w:gridCol w:w="945"/>
        <w:gridCol w:w="1275"/>
        <w:gridCol w:w="840"/>
        <w:gridCol w:w="1035"/>
        <w:gridCol w:w="990"/>
      </w:tblGrid>
      <w:tr>
        <w:tblPrEx>
          <w:tblCellMar>
            <w:top w:w="15" w:type="dxa"/>
            <w:left w:w="15" w:type="dxa"/>
            <w:bottom w:w="15" w:type="dxa"/>
            <w:right w:w="15" w:type="dxa"/>
          </w:tblCellMar>
        </w:tblPrEx>
        <w:trPr>
          <w:trHeight w:val="286" w:hRule="atLeast"/>
        </w:trPr>
        <w:tc>
          <w:tcPr>
            <w:tcW w:w="14160" w:type="dxa"/>
            <w:gridSpan w:val="14"/>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预算10表</w:t>
            </w:r>
          </w:p>
        </w:tc>
      </w:tr>
      <w:tr>
        <w:tblPrEx>
          <w:tblCellMar>
            <w:top w:w="15" w:type="dxa"/>
            <w:left w:w="15" w:type="dxa"/>
            <w:bottom w:w="15" w:type="dxa"/>
            <w:right w:w="15" w:type="dxa"/>
          </w:tblCellMar>
        </w:tblPrEx>
        <w:trPr>
          <w:trHeight w:val="555" w:hRule="atLeast"/>
        </w:trPr>
        <w:tc>
          <w:tcPr>
            <w:tcW w:w="14160"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2022年国有资本经营支出预算表</w:t>
            </w:r>
          </w:p>
        </w:tc>
      </w:tr>
      <w:tr>
        <w:tblPrEx>
          <w:tblCellMar>
            <w:top w:w="15" w:type="dxa"/>
            <w:left w:w="15" w:type="dxa"/>
            <w:bottom w:w="15" w:type="dxa"/>
            <w:right w:w="15" w:type="dxa"/>
          </w:tblCellMar>
        </w:tblPrEx>
        <w:trPr>
          <w:trHeight w:val="286" w:hRule="atLeast"/>
        </w:trPr>
        <w:tc>
          <w:tcPr>
            <w:tcW w:w="1764" w:type="dxa"/>
            <w:gridSpan w:val="3"/>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1406" w:type="dxa"/>
            <w:gridSpan w:val="1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990"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trHeight w:val="286" w:hRule="atLeast"/>
        </w:trPr>
        <w:tc>
          <w:tcPr>
            <w:tcW w:w="176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63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28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15" w:type="dxa"/>
            <w:left w:w="15" w:type="dxa"/>
            <w:bottom w:w="15" w:type="dxa"/>
            <w:right w:w="15" w:type="dxa"/>
          </w:tblCellMar>
        </w:tblPrEx>
        <w:trPr>
          <w:trHeight w:val="286" w:hRule="atLeast"/>
        </w:trPr>
        <w:tc>
          <w:tcPr>
            <w:tcW w:w="176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15" w:type="dxa"/>
            <w:left w:w="15" w:type="dxa"/>
            <w:bottom w:w="15" w:type="dxa"/>
            <w:right w:w="15" w:type="dxa"/>
          </w:tblCellMar>
        </w:tblPrEx>
        <w:trPr>
          <w:trHeight w:val="675"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630" w:hRule="atLeast"/>
        </w:trPr>
        <w:tc>
          <w:tcPr>
            <w:tcW w:w="478" w:type="dxa"/>
            <w:vAlign w:val="center"/>
          </w:tcPr>
          <w:p>
            <w:pPr>
              <w:rPr>
                <w:rFonts w:ascii="宋体" w:hAnsi="宋体" w:cs="宋体"/>
                <w:color w:val="000000"/>
                <w:sz w:val="18"/>
                <w:szCs w:val="18"/>
              </w:rPr>
            </w:pPr>
          </w:p>
        </w:tc>
        <w:tc>
          <w:tcPr>
            <w:tcW w:w="628" w:type="dxa"/>
            <w:vAlign w:val="center"/>
          </w:tcPr>
          <w:p>
            <w:pPr>
              <w:rPr>
                <w:rFonts w:ascii="宋体" w:hAnsi="宋体" w:cs="宋体"/>
                <w:color w:val="000000"/>
                <w:sz w:val="18"/>
                <w:szCs w:val="18"/>
              </w:rPr>
            </w:pPr>
          </w:p>
        </w:tc>
        <w:tc>
          <w:tcPr>
            <w:tcW w:w="658" w:type="dxa"/>
            <w:vAlign w:val="center"/>
          </w:tcPr>
          <w:p>
            <w:pPr>
              <w:rPr>
                <w:rFonts w:ascii="宋体" w:hAnsi="宋体" w:cs="宋体"/>
                <w:color w:val="000000"/>
                <w:sz w:val="18"/>
                <w:szCs w:val="18"/>
              </w:rPr>
            </w:pPr>
          </w:p>
        </w:tc>
        <w:tc>
          <w:tcPr>
            <w:tcW w:w="1180" w:type="dxa"/>
            <w:vAlign w:val="center"/>
          </w:tcPr>
          <w:p>
            <w:pPr>
              <w:rPr>
                <w:rFonts w:ascii="宋体" w:hAnsi="宋体" w:cs="宋体"/>
                <w:color w:val="000000"/>
                <w:sz w:val="18"/>
                <w:szCs w:val="18"/>
              </w:rPr>
            </w:pPr>
          </w:p>
        </w:tc>
        <w:tc>
          <w:tcPr>
            <w:tcW w:w="1076" w:type="dxa"/>
            <w:vAlign w:val="center"/>
          </w:tcPr>
          <w:p>
            <w:pPr>
              <w:rPr>
                <w:rFonts w:ascii="宋体" w:hAnsi="宋体" w:cs="宋体"/>
                <w:color w:val="000000"/>
                <w:sz w:val="18"/>
                <w:szCs w:val="18"/>
              </w:rPr>
            </w:pPr>
          </w:p>
        </w:tc>
        <w:tc>
          <w:tcPr>
            <w:tcW w:w="915" w:type="dxa"/>
            <w:vAlign w:val="center"/>
          </w:tcPr>
          <w:p>
            <w:pPr>
              <w:rPr>
                <w:rFonts w:ascii="宋体" w:hAnsi="宋体" w:cs="宋体"/>
                <w:color w:val="000000"/>
                <w:sz w:val="22"/>
              </w:rPr>
            </w:pPr>
          </w:p>
        </w:tc>
        <w:tc>
          <w:tcPr>
            <w:tcW w:w="1530" w:type="dxa"/>
            <w:vAlign w:val="center"/>
          </w:tcPr>
          <w:p>
            <w:pPr>
              <w:rPr>
                <w:rFonts w:ascii="宋体" w:hAnsi="宋体" w:cs="宋体"/>
                <w:color w:val="000000"/>
                <w:sz w:val="22"/>
              </w:rPr>
            </w:pPr>
          </w:p>
        </w:tc>
        <w:tc>
          <w:tcPr>
            <w:tcW w:w="1335" w:type="dxa"/>
            <w:vAlign w:val="center"/>
          </w:tcPr>
          <w:p>
            <w:pPr>
              <w:rPr>
                <w:rFonts w:ascii="宋体" w:hAnsi="宋体" w:cs="宋体"/>
                <w:color w:val="000000"/>
                <w:sz w:val="22"/>
              </w:rPr>
            </w:pPr>
          </w:p>
        </w:tc>
        <w:tc>
          <w:tcPr>
            <w:tcW w:w="1275" w:type="dxa"/>
            <w:vAlign w:val="center"/>
          </w:tcPr>
          <w:p>
            <w:pPr>
              <w:rPr>
                <w:rFonts w:ascii="宋体" w:hAnsi="宋体" w:cs="宋体"/>
                <w:color w:val="000000"/>
                <w:sz w:val="22"/>
              </w:rPr>
            </w:pPr>
          </w:p>
        </w:tc>
        <w:tc>
          <w:tcPr>
            <w:tcW w:w="945" w:type="dxa"/>
            <w:vAlign w:val="center"/>
          </w:tcPr>
          <w:p>
            <w:pPr>
              <w:rPr>
                <w:rFonts w:ascii="宋体" w:hAnsi="宋体" w:cs="宋体"/>
                <w:color w:val="000000"/>
                <w:sz w:val="22"/>
              </w:rPr>
            </w:pPr>
          </w:p>
        </w:tc>
        <w:tc>
          <w:tcPr>
            <w:tcW w:w="1275" w:type="dxa"/>
            <w:vAlign w:val="center"/>
          </w:tcPr>
          <w:p>
            <w:pPr>
              <w:rPr>
                <w:rFonts w:ascii="宋体" w:hAnsi="宋体" w:cs="宋体"/>
                <w:color w:val="000000"/>
                <w:sz w:val="22"/>
              </w:rPr>
            </w:pPr>
          </w:p>
        </w:tc>
        <w:tc>
          <w:tcPr>
            <w:tcW w:w="840" w:type="dxa"/>
            <w:vAlign w:val="center"/>
          </w:tcPr>
          <w:p>
            <w:pPr>
              <w:rPr>
                <w:rFonts w:ascii="宋体" w:hAnsi="宋体" w:cs="宋体"/>
                <w:color w:val="000000"/>
                <w:sz w:val="22"/>
              </w:rPr>
            </w:pPr>
          </w:p>
        </w:tc>
        <w:tc>
          <w:tcPr>
            <w:tcW w:w="1035" w:type="dxa"/>
            <w:vAlign w:val="center"/>
          </w:tcPr>
          <w:p>
            <w:pPr>
              <w:rPr>
                <w:rFonts w:ascii="宋体" w:hAnsi="宋体" w:cs="宋体"/>
                <w:color w:val="000000"/>
                <w:sz w:val="22"/>
              </w:rPr>
            </w:pPr>
          </w:p>
        </w:tc>
        <w:tc>
          <w:tcPr>
            <w:tcW w:w="990" w:type="dxa"/>
            <w:vAlign w:val="center"/>
          </w:tcPr>
          <w:p>
            <w:pPr>
              <w:rPr>
                <w:rFonts w:ascii="宋体" w:hAnsi="宋体" w:cs="宋体"/>
                <w:color w:val="000000"/>
                <w:sz w:val="22"/>
              </w:rPr>
            </w:pPr>
          </w:p>
        </w:tc>
      </w:tr>
    </w:tbl>
    <w:p/>
    <w:p/>
    <w:p>
      <w:r>
        <w:rPr>
          <w:rFonts w:hint="eastAsia"/>
        </w:rPr>
        <w:t>注：伊川县粮食和物资储备中心2023年无国有资本经营预算拨款安排的支出，故此表无数据。</w:t>
      </w:r>
    </w:p>
    <w:p/>
    <w:p/>
    <w:p>
      <w:pPr>
        <w:sectPr>
          <w:pgSz w:w="16838" w:h="11906" w:orient="landscape"/>
          <w:pgMar w:top="1066" w:right="1553" w:bottom="1123" w:left="1553" w:header="851" w:footer="992" w:gutter="0"/>
          <w:pgNumType w:fmt="numberInDash"/>
          <w:cols w:space="720" w:num="1"/>
          <w:docGrid w:type="lines" w:linePitch="312" w:charSpace="0"/>
        </w:sectPr>
      </w:pPr>
    </w:p>
    <w:tbl>
      <w:tblPr>
        <w:tblStyle w:val="4"/>
        <w:tblW w:w="10092" w:type="dxa"/>
        <w:tblInd w:w="0" w:type="dxa"/>
        <w:tblLayout w:type="fixed"/>
        <w:tblCellMar>
          <w:top w:w="15" w:type="dxa"/>
          <w:left w:w="15" w:type="dxa"/>
          <w:bottom w:w="15" w:type="dxa"/>
          <w:right w:w="15" w:type="dxa"/>
        </w:tblCellMar>
      </w:tblPr>
      <w:tblGrid>
        <w:gridCol w:w="703"/>
        <w:gridCol w:w="265"/>
        <w:gridCol w:w="678"/>
        <w:gridCol w:w="2283"/>
        <w:gridCol w:w="660"/>
        <w:gridCol w:w="570"/>
        <w:gridCol w:w="552"/>
        <w:gridCol w:w="518"/>
        <w:gridCol w:w="570"/>
        <w:gridCol w:w="312"/>
        <w:gridCol w:w="402"/>
        <w:gridCol w:w="541"/>
        <w:gridCol w:w="757"/>
        <w:gridCol w:w="1236"/>
        <w:gridCol w:w="45"/>
      </w:tblGrid>
      <w:tr>
        <w:tblPrEx>
          <w:tblCellMar>
            <w:top w:w="15" w:type="dxa"/>
            <w:left w:w="15" w:type="dxa"/>
            <w:bottom w:w="15" w:type="dxa"/>
            <w:right w:w="15" w:type="dxa"/>
          </w:tblCellMar>
        </w:tblPrEx>
        <w:trPr>
          <w:gridAfter w:val="1"/>
          <w:wAfter w:w="45" w:type="dxa"/>
          <w:trHeight w:val="354" w:hRule="atLeast"/>
        </w:trPr>
        <w:tc>
          <w:tcPr>
            <w:tcW w:w="10047" w:type="dxa"/>
            <w:gridSpan w:val="14"/>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预算11表</w:t>
            </w:r>
          </w:p>
        </w:tc>
      </w:tr>
      <w:tr>
        <w:tblPrEx>
          <w:tblCellMar>
            <w:top w:w="15" w:type="dxa"/>
            <w:left w:w="15" w:type="dxa"/>
            <w:bottom w:w="15" w:type="dxa"/>
            <w:right w:w="15" w:type="dxa"/>
          </w:tblCellMar>
        </w:tblPrEx>
        <w:trPr>
          <w:gridAfter w:val="1"/>
          <w:wAfter w:w="45" w:type="dxa"/>
          <w:trHeight w:val="324" w:hRule="atLeast"/>
        </w:trPr>
        <w:tc>
          <w:tcPr>
            <w:tcW w:w="10047"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2022年项目支出预算表</w:t>
            </w:r>
          </w:p>
        </w:tc>
      </w:tr>
      <w:tr>
        <w:tblPrEx>
          <w:tblCellMar>
            <w:top w:w="15" w:type="dxa"/>
            <w:left w:w="15" w:type="dxa"/>
            <w:bottom w:w="15" w:type="dxa"/>
            <w:right w:w="15" w:type="dxa"/>
          </w:tblCellMar>
        </w:tblPrEx>
        <w:trPr>
          <w:gridAfter w:val="1"/>
          <w:wAfter w:w="45" w:type="dxa"/>
          <w:trHeight w:val="324" w:hRule="atLeast"/>
        </w:trPr>
        <w:tc>
          <w:tcPr>
            <w:tcW w:w="703" w:type="dxa"/>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8108" w:type="dxa"/>
            <w:gridSpan w:val="12"/>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1236"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15" w:type="dxa"/>
            <w:left w:w="15" w:type="dxa"/>
            <w:bottom w:w="15" w:type="dxa"/>
            <w:right w:w="15" w:type="dxa"/>
          </w:tblCellMar>
        </w:tblPrEx>
        <w:trPr>
          <w:gridAfter w:val="1"/>
          <w:wAfter w:w="45" w:type="dxa"/>
          <w:trHeight w:val="286" w:hRule="atLeast"/>
        </w:trPr>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类型</w:t>
            </w:r>
          </w:p>
        </w:tc>
        <w:tc>
          <w:tcPr>
            <w:tcW w:w="9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22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项目单位</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本年拨款</w:t>
            </w:r>
          </w:p>
        </w:tc>
        <w:tc>
          <w:tcPr>
            <w:tcW w:w="1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财政拨款结转结余</w:t>
            </w:r>
          </w:p>
        </w:tc>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2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r>
      <w:tr>
        <w:tblPrEx>
          <w:tblCellMar>
            <w:top w:w="15" w:type="dxa"/>
            <w:left w:w="15" w:type="dxa"/>
            <w:bottom w:w="15" w:type="dxa"/>
            <w:right w:w="15" w:type="dxa"/>
          </w:tblCellMar>
        </w:tblPrEx>
        <w:trPr>
          <w:gridAfter w:val="1"/>
          <w:wAfter w:w="45" w:type="dxa"/>
          <w:trHeight w:val="671" w:hRule="atLeast"/>
        </w:trPr>
        <w:tc>
          <w:tcPr>
            <w:tcW w:w="7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政府性基金预算</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政府性基金预算</w:t>
            </w:r>
          </w:p>
        </w:tc>
        <w:tc>
          <w:tcPr>
            <w:tcW w:w="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286"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941.00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36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601</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941.00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粮食供需平衡调查经费</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粮食财务挂账利息补贴</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确认应剥离新增粮食财务挂账利息</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55.00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55.00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产粮大县奖励资金等</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仓库维修资金</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县级储备粮费用补贴</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县级储备粮轮换费用补贴</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县级储备粮油利息补贴</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675"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新增1万吨地储粮轮换费用</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900"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提前下达2022年粮食生产一次性奖励资金</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380.00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380.00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gridAfter w:val="1"/>
          <w:wAfter w:w="45" w:type="dxa"/>
          <w:trHeight w:val="90" w:hRule="atLeast"/>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提前下达2022年产棉大县奖励资金</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182.00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182.00</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15" w:type="dxa"/>
            <w:left w:w="15" w:type="dxa"/>
            <w:bottom w:w="15" w:type="dxa"/>
            <w:right w:w="15" w:type="dxa"/>
          </w:tblCellMar>
        </w:tblPrEx>
        <w:trPr>
          <w:trHeight w:val="605" w:hRule="atLeast"/>
        </w:trPr>
        <w:tc>
          <w:tcPr>
            <w:tcW w:w="968" w:type="dxa"/>
            <w:gridSpan w:val="2"/>
            <w:vAlign w:val="center"/>
          </w:tcPr>
          <w:p>
            <w:pPr>
              <w:jc w:val="right"/>
              <w:rPr>
                <w:rFonts w:ascii="宋体" w:hAnsi="宋体" w:cs="宋体"/>
                <w:color w:val="000000"/>
                <w:sz w:val="22"/>
              </w:rPr>
            </w:pPr>
          </w:p>
        </w:tc>
        <w:tc>
          <w:tcPr>
            <w:tcW w:w="3621" w:type="dxa"/>
            <w:gridSpan w:val="3"/>
            <w:vAlign w:val="center"/>
          </w:tcPr>
          <w:p>
            <w:pPr>
              <w:jc w:val="right"/>
              <w:rPr>
                <w:rFonts w:ascii="宋体" w:hAnsi="宋体" w:cs="宋体"/>
                <w:color w:val="000000"/>
                <w:sz w:val="22"/>
              </w:rPr>
            </w:pPr>
          </w:p>
        </w:tc>
        <w:tc>
          <w:tcPr>
            <w:tcW w:w="1640" w:type="dxa"/>
            <w:gridSpan w:val="3"/>
            <w:vAlign w:val="center"/>
          </w:tcPr>
          <w:p>
            <w:pPr>
              <w:jc w:val="right"/>
              <w:rPr>
                <w:rFonts w:ascii="宋体" w:hAnsi="宋体" w:cs="宋体"/>
                <w:color w:val="000000"/>
                <w:sz w:val="22"/>
              </w:rPr>
            </w:pPr>
          </w:p>
        </w:tc>
        <w:tc>
          <w:tcPr>
            <w:tcW w:w="882" w:type="dxa"/>
            <w:gridSpan w:val="2"/>
            <w:vAlign w:val="center"/>
          </w:tcPr>
          <w:p>
            <w:pPr>
              <w:jc w:val="right"/>
              <w:rPr>
                <w:rFonts w:ascii="宋体" w:hAnsi="宋体" w:cs="宋体"/>
                <w:color w:val="000000"/>
                <w:sz w:val="22"/>
              </w:rPr>
            </w:pPr>
          </w:p>
        </w:tc>
        <w:tc>
          <w:tcPr>
            <w:tcW w:w="2981" w:type="dxa"/>
            <w:gridSpan w:val="5"/>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预算12表</w:t>
            </w:r>
          </w:p>
        </w:tc>
      </w:tr>
      <w:tr>
        <w:tblPrEx>
          <w:tblCellMar>
            <w:top w:w="15" w:type="dxa"/>
            <w:left w:w="15" w:type="dxa"/>
            <w:bottom w:w="15" w:type="dxa"/>
            <w:right w:w="15" w:type="dxa"/>
          </w:tblCellMar>
        </w:tblPrEx>
        <w:trPr>
          <w:trHeight w:val="495" w:hRule="atLeast"/>
        </w:trPr>
        <w:tc>
          <w:tcPr>
            <w:tcW w:w="10092" w:type="dxa"/>
            <w:gridSpan w:val="15"/>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本级部门(单位)整体绩效目标表</w:t>
            </w:r>
          </w:p>
        </w:tc>
      </w:tr>
      <w:tr>
        <w:tblPrEx>
          <w:tblCellMar>
            <w:top w:w="15" w:type="dxa"/>
            <w:left w:w="15" w:type="dxa"/>
            <w:bottom w:w="15" w:type="dxa"/>
            <w:right w:w="15" w:type="dxa"/>
          </w:tblCellMar>
        </w:tblPrEx>
        <w:trPr>
          <w:trHeight w:val="286" w:hRule="atLeast"/>
        </w:trPr>
        <w:tc>
          <w:tcPr>
            <w:tcW w:w="10092" w:type="dxa"/>
            <w:gridSpan w:val="15"/>
            <w:vAlign w:val="center"/>
          </w:tcPr>
          <w:p>
            <w:pPr>
              <w:widowControl/>
              <w:jc w:val="center"/>
              <w:textAlignment w:val="center"/>
              <w:rPr>
                <w:rFonts w:ascii="宋体" w:hAnsi="宋体" w:cs="宋体"/>
                <w:b/>
                <w:color w:val="000000"/>
                <w:sz w:val="24"/>
                <w:szCs w:val="24"/>
              </w:rPr>
            </w:pPr>
            <w:r>
              <w:rPr>
                <w:rFonts w:ascii="宋体" w:hAnsi="宋体" w:cs="宋体"/>
                <w:b/>
                <w:color w:val="000000"/>
                <w:kern w:val="0"/>
                <w:sz w:val="24"/>
                <w:szCs w:val="24"/>
              </w:rPr>
              <w:t xml:space="preserve">（2022年度）  </w:t>
            </w:r>
          </w:p>
        </w:tc>
      </w:tr>
      <w:tr>
        <w:tblPrEx>
          <w:tblCellMar>
            <w:top w:w="15" w:type="dxa"/>
            <w:left w:w="15" w:type="dxa"/>
            <w:bottom w:w="15" w:type="dxa"/>
            <w:right w:w="15" w:type="dxa"/>
          </w:tblCellMar>
        </w:tblPrEx>
        <w:trPr>
          <w:trHeight w:val="286" w:hRule="atLeast"/>
        </w:trPr>
        <w:tc>
          <w:tcPr>
            <w:tcW w:w="458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部门（单位）名称  </w:t>
            </w:r>
          </w:p>
        </w:tc>
        <w:tc>
          <w:tcPr>
            <w:tcW w:w="5503"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r>
      <w:tr>
        <w:tblPrEx>
          <w:tblCellMar>
            <w:top w:w="15" w:type="dxa"/>
            <w:left w:w="15" w:type="dxa"/>
            <w:bottom w:w="15" w:type="dxa"/>
            <w:right w:w="15" w:type="dxa"/>
          </w:tblCellMar>
        </w:tblPrEx>
        <w:trPr>
          <w:trHeight w:val="761" w:hRule="atLeast"/>
        </w:trPr>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促进粮食产业服务体系建设事业的发展，搞好粮食收购，储存，保证储备粮供应安全；负责市政府对伊川县粮食安全县长责任制考核工作任务；加强县级储备量管理，确保规模到位，质量良好，储存安全，搞好粮食供需平衡调查工作，提高政府调控粮食市场的能力等。</w:t>
            </w:r>
          </w:p>
        </w:tc>
      </w:tr>
      <w:tr>
        <w:tblPrEx>
          <w:tblCellMar>
            <w:top w:w="15" w:type="dxa"/>
            <w:left w:w="15" w:type="dxa"/>
            <w:bottom w:w="15" w:type="dxa"/>
            <w:right w:w="15" w:type="dxa"/>
          </w:tblCellMar>
        </w:tblPrEx>
        <w:trPr>
          <w:trHeight w:val="197"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年度主要任务</w:t>
            </w: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任务名称</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主要内容</w:t>
            </w:r>
          </w:p>
        </w:tc>
      </w:tr>
      <w:tr>
        <w:tblPrEx>
          <w:tblCellMar>
            <w:top w:w="15" w:type="dxa"/>
            <w:left w:w="15" w:type="dxa"/>
            <w:bottom w:w="15" w:type="dxa"/>
            <w:right w:w="15" w:type="dxa"/>
          </w:tblCellMar>
        </w:tblPrEx>
        <w:trPr>
          <w:trHeight w:val="1295"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促进粮食产业服务体系建设事业的发展，搞好粮食收购，储存，保证储备粮供应安全。</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促进粮食产业服务体系建设事业的发展，搞好粮食收购、储存，保证储备粮供应安全。加强县级储备粮管理，确保规模到位，质量良好，储存安全，搞好粮食供需平衡调查工作，提高政府调控粮食市场的能力。</w:t>
            </w:r>
          </w:p>
        </w:tc>
      </w:tr>
      <w:tr>
        <w:tblPrEx>
          <w:tblCellMar>
            <w:top w:w="15" w:type="dxa"/>
            <w:left w:w="15" w:type="dxa"/>
            <w:bottom w:w="15" w:type="dxa"/>
            <w:right w:w="15" w:type="dxa"/>
          </w:tblCellMar>
        </w:tblPrEx>
        <w:trPr>
          <w:trHeight w:val="286"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预算情况  </w:t>
            </w: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部门预算总额（万元）</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1570.63</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1、资金来源：（1）政府预算资金</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1570.63</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（2）财政专户管理资金</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（3）单位资金</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2、资金结构：（1）基本支出</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181.63</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（2）项目支出</w:t>
            </w:r>
          </w:p>
        </w:tc>
        <w:tc>
          <w:tcPr>
            <w:tcW w:w="38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1389.00</w:t>
            </w:r>
          </w:p>
        </w:tc>
      </w:tr>
      <w:tr>
        <w:tblPrEx>
          <w:tblCellMar>
            <w:top w:w="15" w:type="dxa"/>
            <w:left w:w="15" w:type="dxa"/>
            <w:bottom w:w="15" w:type="dxa"/>
            <w:right w:w="15" w:type="dxa"/>
          </w:tblCellMar>
        </w:tblPrEx>
        <w:trPr>
          <w:trHeight w:val="286" w:hRule="atLeast"/>
        </w:trPr>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36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指标值说明</w:t>
            </w:r>
          </w:p>
        </w:tc>
      </w:tr>
      <w:tr>
        <w:tblPrEx>
          <w:tblCellMar>
            <w:top w:w="15" w:type="dxa"/>
            <w:left w:w="15" w:type="dxa"/>
            <w:bottom w:w="15" w:type="dxa"/>
            <w:right w:w="15" w:type="dxa"/>
          </w:tblCellMar>
        </w:tblPrEx>
        <w:trPr>
          <w:trHeight w:val="923"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投入管理指标  </w:t>
            </w:r>
          </w:p>
        </w:tc>
        <w:tc>
          <w:tcPr>
            <w:tcW w:w="36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工作目标管理  </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年度履职目标相关性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相关</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年度目标与国家、省宏观政策、行业政策一致，确定的预算项目与工作目标密切相关，工作任务和项目预算合理安排。</w:t>
            </w:r>
          </w:p>
        </w:tc>
      </w:tr>
      <w:tr>
        <w:tblPrEx>
          <w:tblCellMar>
            <w:top w:w="15" w:type="dxa"/>
            <w:left w:w="15" w:type="dxa"/>
            <w:bottom w:w="15" w:type="dxa"/>
            <w:right w:w="15" w:type="dxa"/>
          </w:tblCellMar>
        </w:tblPrEx>
        <w:trPr>
          <w:trHeight w:val="45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工作任务科学性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科学</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本年的工作任务有明确的绩效目标，绩效目标与年度目标一致。</w:t>
            </w:r>
          </w:p>
        </w:tc>
      </w:tr>
      <w:tr>
        <w:tblPrEx>
          <w:tblCellMar>
            <w:top w:w="15" w:type="dxa"/>
            <w:left w:w="15" w:type="dxa"/>
            <w:bottom w:w="15" w:type="dxa"/>
            <w:right w:w="15" w:type="dxa"/>
          </w:tblCellMar>
        </w:tblPrEx>
        <w:trPr>
          <w:trHeight w:val="675"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绩效指标合理性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合理</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预算项目绩效指标准确的反应部门绩效完成情况，预算项目绩效指标清晰、细化、可评价。</w:t>
            </w:r>
          </w:p>
        </w:tc>
      </w:tr>
      <w:tr>
        <w:tblPrEx>
          <w:tblCellMar>
            <w:top w:w="15" w:type="dxa"/>
            <w:left w:w="15" w:type="dxa"/>
            <w:bottom w:w="15" w:type="dxa"/>
            <w:right w:w="15" w:type="dxa"/>
          </w:tblCellMar>
        </w:tblPrEx>
        <w:trPr>
          <w:trHeight w:val="45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预算和财务管理  </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预算编制完整性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完整</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部门所有收入和支出全部纳入预算管理</w:t>
            </w:r>
          </w:p>
        </w:tc>
      </w:tr>
      <w:tr>
        <w:tblPrEx>
          <w:tblCellMar>
            <w:top w:w="15" w:type="dxa"/>
            <w:left w:w="15" w:type="dxa"/>
            <w:bottom w:w="15" w:type="dxa"/>
            <w:right w:w="15" w:type="dxa"/>
          </w:tblCellMar>
        </w:tblPrEx>
        <w:trPr>
          <w:trHeight w:val="182"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专项资金细化率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98</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预算调整率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结转结余率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政府采购执行率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≥80%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917"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决算真实性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真实</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完全真实</w:t>
            </w:r>
          </w:p>
        </w:tc>
      </w:tr>
      <w:tr>
        <w:tblPrEx>
          <w:tblCellMar>
            <w:top w:w="15" w:type="dxa"/>
            <w:left w:w="15" w:type="dxa"/>
            <w:bottom w:w="15" w:type="dxa"/>
            <w:right w:w="15" w:type="dxa"/>
          </w:tblCellMar>
        </w:tblPrEx>
        <w:trPr>
          <w:trHeight w:val="675"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资金使用合规性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合规</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本单位完全按照相关法律法规及资金管理办法规定使用预算资金，资金的拨付有完整的审批程序和手续。</w:t>
            </w:r>
          </w:p>
        </w:tc>
      </w:tr>
      <w:tr>
        <w:tblPrEx>
          <w:tblCellMar>
            <w:top w:w="15" w:type="dxa"/>
            <w:left w:w="15" w:type="dxa"/>
            <w:bottom w:w="15" w:type="dxa"/>
            <w:right w:w="15" w:type="dxa"/>
          </w:tblCellMar>
        </w:tblPrEx>
        <w:trPr>
          <w:trHeight w:val="45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管理制度健全性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健全</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本单位为加强预算管理，制定有完整规范的财务管理制度。</w:t>
            </w:r>
          </w:p>
        </w:tc>
      </w:tr>
      <w:tr>
        <w:tblPrEx>
          <w:tblCellMar>
            <w:top w:w="15" w:type="dxa"/>
            <w:left w:w="15" w:type="dxa"/>
            <w:bottom w:w="15" w:type="dxa"/>
            <w:right w:w="15" w:type="dxa"/>
          </w:tblCellMar>
        </w:tblPrEx>
        <w:trPr>
          <w:trHeight w:val="45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预决算信息公开性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公开</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本单位按照规定公开透明预决算相关信息。</w:t>
            </w:r>
          </w:p>
        </w:tc>
      </w:tr>
      <w:tr>
        <w:tblPrEx>
          <w:tblCellMar>
            <w:top w:w="15" w:type="dxa"/>
            <w:left w:w="15" w:type="dxa"/>
            <w:bottom w:w="15" w:type="dxa"/>
            <w:right w:w="15" w:type="dxa"/>
          </w:tblCellMar>
        </w:tblPrEx>
        <w:trPr>
          <w:trHeight w:val="90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资产管理规范性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规范</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本单位资产配置完全使用合规，资产报表数据与会计账簿数据相符，资产实物与资产账相符，资产新增与处置均按规定审批与报批。</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绩效管理  </w:t>
            </w:r>
          </w:p>
        </w:tc>
        <w:tc>
          <w:tcPr>
            <w:tcW w:w="1640" w:type="dxa"/>
            <w:gridSpan w:val="3"/>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绩效目标编制完成率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绩效监控完成率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绩效自评完成率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部门绩效评价完成率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评价结果应用率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301"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产出指标  </w:t>
            </w:r>
          </w:p>
        </w:tc>
        <w:tc>
          <w:tcPr>
            <w:tcW w:w="36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重点工作任务完成</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工作完成及时性</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及时完成</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履职目标实现</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履职目标实现率</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效益指标  </w:t>
            </w:r>
          </w:p>
        </w:tc>
        <w:tc>
          <w:tcPr>
            <w:tcW w:w="362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履职效益</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保障地方储备粮安全，促进经济社会发展</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保障政府应急时地方储备粮调得动，用得上</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服务对象满意度</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71" w:hRule="atLeast"/>
        </w:trPr>
        <w:tc>
          <w:tcPr>
            <w:tcW w:w="968" w:type="dxa"/>
            <w:gridSpan w:val="2"/>
            <w:vAlign w:val="center"/>
          </w:tcPr>
          <w:p>
            <w:pPr>
              <w:rPr>
                <w:rFonts w:ascii="宋体" w:hAnsi="宋体" w:cs="宋体"/>
                <w:color w:val="000000"/>
                <w:sz w:val="22"/>
              </w:rPr>
            </w:pPr>
          </w:p>
        </w:tc>
        <w:tc>
          <w:tcPr>
            <w:tcW w:w="3621" w:type="dxa"/>
            <w:gridSpan w:val="3"/>
            <w:vAlign w:val="center"/>
          </w:tcPr>
          <w:p>
            <w:pPr>
              <w:rPr>
                <w:rFonts w:ascii="宋体" w:hAnsi="宋体" w:cs="宋体"/>
                <w:color w:val="000000"/>
                <w:sz w:val="22"/>
              </w:rPr>
            </w:pPr>
          </w:p>
        </w:tc>
        <w:tc>
          <w:tcPr>
            <w:tcW w:w="1640" w:type="dxa"/>
            <w:gridSpan w:val="3"/>
            <w:vAlign w:val="center"/>
          </w:tcPr>
          <w:p>
            <w:pPr>
              <w:rPr>
                <w:rFonts w:ascii="宋体" w:hAnsi="宋体" w:cs="宋体"/>
                <w:color w:val="000000"/>
                <w:sz w:val="22"/>
              </w:rPr>
            </w:pPr>
          </w:p>
        </w:tc>
        <w:tc>
          <w:tcPr>
            <w:tcW w:w="882" w:type="dxa"/>
            <w:gridSpan w:val="2"/>
            <w:vAlign w:val="center"/>
          </w:tcPr>
          <w:p>
            <w:pPr>
              <w:rPr>
                <w:rFonts w:ascii="宋体" w:hAnsi="宋体" w:cs="宋体"/>
                <w:color w:val="000000"/>
                <w:sz w:val="22"/>
              </w:rPr>
            </w:pPr>
          </w:p>
        </w:tc>
        <w:tc>
          <w:tcPr>
            <w:tcW w:w="2981" w:type="dxa"/>
            <w:gridSpan w:val="5"/>
            <w:vAlign w:val="center"/>
          </w:tcPr>
          <w:p>
            <w:pPr>
              <w:rPr>
                <w:rFonts w:ascii="宋体" w:hAnsi="宋体" w:cs="宋体"/>
                <w:color w:val="000000"/>
                <w:sz w:val="22"/>
              </w:rPr>
            </w:pPr>
          </w:p>
        </w:tc>
      </w:tr>
    </w:tbl>
    <w:p>
      <w:pPr>
        <w:sectPr>
          <w:pgSz w:w="11906" w:h="16838"/>
          <w:pgMar w:top="930" w:right="1123" w:bottom="1553" w:left="1066" w:header="851" w:footer="992" w:gutter="0"/>
          <w:pgNumType w:fmt="numberInDash"/>
          <w:cols w:space="720" w:num="1"/>
          <w:docGrid w:type="lines" w:linePitch="312" w:charSpace="0"/>
        </w:sectPr>
      </w:pPr>
    </w:p>
    <w:tbl>
      <w:tblPr>
        <w:tblStyle w:val="4"/>
        <w:tblW w:w="14366" w:type="dxa"/>
        <w:tblInd w:w="0" w:type="dxa"/>
        <w:tblLayout w:type="fixed"/>
        <w:tblCellMar>
          <w:top w:w="15" w:type="dxa"/>
          <w:left w:w="15" w:type="dxa"/>
          <w:bottom w:w="15" w:type="dxa"/>
          <w:right w:w="15" w:type="dxa"/>
        </w:tblCellMar>
      </w:tblPr>
      <w:tblGrid>
        <w:gridCol w:w="1601"/>
        <w:gridCol w:w="1695"/>
        <w:gridCol w:w="780"/>
        <w:gridCol w:w="1035"/>
        <w:gridCol w:w="630"/>
        <w:gridCol w:w="825"/>
        <w:gridCol w:w="1020"/>
        <w:gridCol w:w="945"/>
        <w:gridCol w:w="1170"/>
        <w:gridCol w:w="1095"/>
        <w:gridCol w:w="915"/>
        <w:gridCol w:w="720"/>
        <w:gridCol w:w="810"/>
        <w:gridCol w:w="1125"/>
      </w:tblGrid>
      <w:tr>
        <w:tblPrEx>
          <w:tblCellMar>
            <w:top w:w="15" w:type="dxa"/>
            <w:left w:w="15" w:type="dxa"/>
            <w:bottom w:w="15" w:type="dxa"/>
            <w:right w:w="15" w:type="dxa"/>
          </w:tblCellMar>
        </w:tblPrEx>
        <w:trPr>
          <w:trHeight w:val="286" w:hRule="atLeast"/>
        </w:trPr>
        <w:tc>
          <w:tcPr>
            <w:tcW w:w="1601" w:type="dxa"/>
            <w:vAlign w:val="center"/>
          </w:tcPr>
          <w:p>
            <w:pPr>
              <w:rPr>
                <w:rFonts w:ascii="宋体" w:hAnsi="宋体" w:cs="宋体"/>
                <w:color w:val="000000"/>
                <w:sz w:val="22"/>
              </w:rPr>
            </w:pPr>
          </w:p>
        </w:tc>
        <w:tc>
          <w:tcPr>
            <w:tcW w:w="1695" w:type="dxa"/>
            <w:vAlign w:val="center"/>
          </w:tcPr>
          <w:p>
            <w:pPr>
              <w:rPr>
                <w:rFonts w:ascii="宋体" w:hAnsi="宋体" w:cs="宋体"/>
                <w:color w:val="000000"/>
                <w:sz w:val="22"/>
              </w:rPr>
            </w:pPr>
          </w:p>
        </w:tc>
        <w:tc>
          <w:tcPr>
            <w:tcW w:w="780" w:type="dxa"/>
            <w:vAlign w:val="center"/>
          </w:tcPr>
          <w:p>
            <w:pPr>
              <w:rPr>
                <w:rFonts w:ascii="宋体" w:hAnsi="宋体" w:cs="宋体"/>
                <w:color w:val="000000"/>
                <w:sz w:val="22"/>
              </w:rPr>
            </w:pPr>
          </w:p>
        </w:tc>
        <w:tc>
          <w:tcPr>
            <w:tcW w:w="1035" w:type="dxa"/>
            <w:vAlign w:val="center"/>
          </w:tcPr>
          <w:p>
            <w:pPr>
              <w:rPr>
                <w:rFonts w:ascii="宋体" w:hAnsi="宋体" w:cs="宋体"/>
                <w:color w:val="000000"/>
                <w:sz w:val="22"/>
              </w:rPr>
            </w:pPr>
          </w:p>
        </w:tc>
        <w:tc>
          <w:tcPr>
            <w:tcW w:w="630" w:type="dxa"/>
            <w:vAlign w:val="center"/>
          </w:tcPr>
          <w:p>
            <w:pPr>
              <w:rPr>
                <w:rFonts w:ascii="宋体" w:hAnsi="宋体" w:cs="宋体"/>
                <w:color w:val="000000"/>
                <w:sz w:val="22"/>
              </w:rPr>
            </w:pPr>
          </w:p>
        </w:tc>
        <w:tc>
          <w:tcPr>
            <w:tcW w:w="825" w:type="dxa"/>
            <w:vAlign w:val="center"/>
          </w:tcPr>
          <w:p>
            <w:pPr>
              <w:rPr>
                <w:rFonts w:ascii="宋体" w:hAnsi="宋体" w:cs="宋体"/>
                <w:color w:val="000000"/>
                <w:sz w:val="22"/>
              </w:rPr>
            </w:pPr>
          </w:p>
        </w:tc>
        <w:tc>
          <w:tcPr>
            <w:tcW w:w="1020" w:type="dxa"/>
            <w:vAlign w:val="center"/>
          </w:tcPr>
          <w:p>
            <w:pPr>
              <w:rPr>
                <w:rFonts w:ascii="宋体" w:hAnsi="宋体" w:cs="宋体"/>
                <w:color w:val="000000"/>
                <w:sz w:val="22"/>
              </w:rPr>
            </w:pPr>
          </w:p>
        </w:tc>
        <w:tc>
          <w:tcPr>
            <w:tcW w:w="945" w:type="dxa"/>
            <w:vAlign w:val="center"/>
          </w:tcPr>
          <w:p>
            <w:pPr>
              <w:rPr>
                <w:rFonts w:ascii="宋体" w:hAnsi="宋体" w:cs="宋体"/>
                <w:color w:val="000000"/>
                <w:sz w:val="22"/>
              </w:rPr>
            </w:pPr>
          </w:p>
        </w:tc>
        <w:tc>
          <w:tcPr>
            <w:tcW w:w="1170" w:type="dxa"/>
            <w:vAlign w:val="center"/>
          </w:tcPr>
          <w:p>
            <w:pPr>
              <w:rPr>
                <w:rFonts w:ascii="宋体" w:hAnsi="宋体" w:cs="宋体"/>
                <w:color w:val="000000"/>
                <w:sz w:val="22"/>
              </w:rPr>
            </w:pPr>
          </w:p>
        </w:tc>
        <w:tc>
          <w:tcPr>
            <w:tcW w:w="1095" w:type="dxa"/>
            <w:vAlign w:val="center"/>
          </w:tcPr>
          <w:p>
            <w:pPr>
              <w:rPr>
                <w:rFonts w:ascii="宋体" w:hAnsi="宋体" w:cs="宋体"/>
                <w:color w:val="000000"/>
                <w:sz w:val="22"/>
              </w:rPr>
            </w:pPr>
          </w:p>
        </w:tc>
        <w:tc>
          <w:tcPr>
            <w:tcW w:w="915" w:type="dxa"/>
            <w:vAlign w:val="center"/>
          </w:tcPr>
          <w:p>
            <w:pPr>
              <w:rPr>
                <w:rFonts w:ascii="宋体" w:hAnsi="宋体" w:cs="宋体"/>
                <w:color w:val="000000"/>
                <w:sz w:val="22"/>
              </w:rPr>
            </w:pPr>
          </w:p>
        </w:tc>
        <w:tc>
          <w:tcPr>
            <w:tcW w:w="720" w:type="dxa"/>
            <w:vAlign w:val="center"/>
          </w:tcPr>
          <w:p>
            <w:pPr>
              <w:rPr>
                <w:rFonts w:ascii="宋体" w:hAnsi="宋体" w:cs="宋体"/>
                <w:color w:val="000000"/>
                <w:sz w:val="22"/>
              </w:rPr>
            </w:pPr>
          </w:p>
        </w:tc>
        <w:tc>
          <w:tcPr>
            <w:tcW w:w="810" w:type="dxa"/>
            <w:vAlign w:val="center"/>
          </w:tcPr>
          <w:p>
            <w:pPr>
              <w:rPr>
                <w:rFonts w:ascii="宋体" w:hAnsi="宋体" w:cs="宋体"/>
                <w:color w:val="000000"/>
                <w:sz w:val="22"/>
              </w:rPr>
            </w:pPr>
          </w:p>
        </w:tc>
        <w:tc>
          <w:tcPr>
            <w:tcW w:w="1125"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预算13表</w:t>
            </w:r>
          </w:p>
        </w:tc>
      </w:tr>
      <w:tr>
        <w:tblPrEx>
          <w:tblCellMar>
            <w:top w:w="15" w:type="dxa"/>
            <w:left w:w="15" w:type="dxa"/>
            <w:bottom w:w="15" w:type="dxa"/>
            <w:right w:w="15" w:type="dxa"/>
          </w:tblCellMar>
        </w:tblPrEx>
        <w:trPr>
          <w:trHeight w:val="555" w:hRule="atLeast"/>
        </w:trPr>
        <w:tc>
          <w:tcPr>
            <w:tcW w:w="14366" w:type="dxa"/>
            <w:gridSpan w:val="14"/>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rPr>
              <w:t>2022年部门预算项目绩效目标表</w:t>
            </w:r>
          </w:p>
        </w:tc>
      </w:tr>
      <w:tr>
        <w:tblPrEx>
          <w:tblCellMar>
            <w:top w:w="15" w:type="dxa"/>
            <w:left w:w="15" w:type="dxa"/>
            <w:bottom w:w="15" w:type="dxa"/>
            <w:right w:w="15" w:type="dxa"/>
          </w:tblCellMar>
        </w:tblPrEx>
        <w:trPr>
          <w:trHeight w:val="286"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单位编码（项目编码）</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项目单位 （项目名称）</w:t>
            </w:r>
          </w:p>
        </w:tc>
        <w:tc>
          <w:tcPr>
            <w:tcW w:w="327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项目金额（万元）</w:t>
            </w:r>
          </w:p>
        </w:tc>
        <w:tc>
          <w:tcPr>
            <w:tcW w:w="780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绩效目标</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27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成本指标  </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产出指标  </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效益指标  </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满意度指标  </w:t>
            </w:r>
          </w:p>
        </w:tc>
      </w:tr>
      <w:tr>
        <w:tblPrEx>
          <w:tblCellMar>
            <w:top w:w="15" w:type="dxa"/>
            <w:left w:w="15" w:type="dxa"/>
            <w:bottom w:w="15" w:type="dxa"/>
            <w:right w:w="15" w:type="dxa"/>
          </w:tblCellMar>
        </w:tblPrEx>
        <w:trPr>
          <w:trHeight w:val="863"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资金总额</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政府预算资金</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r>
      <w:tr>
        <w:tblPrEx>
          <w:tblCellMar>
            <w:top w:w="15" w:type="dxa"/>
            <w:left w:w="15" w:type="dxa"/>
            <w:bottom w:w="15" w:type="dxa"/>
            <w:right w:w="15" w:type="dxa"/>
          </w:tblCellMar>
        </w:tblPrEx>
        <w:trPr>
          <w:trHeight w:val="197" w:hRule="atLeast"/>
        </w:trPr>
        <w:tc>
          <w:tcPr>
            <w:tcW w:w="160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601001</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伊川县粮食和物资储备中心</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1389.00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410329220000000014001</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粮食供需平衡调查经费</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调查全县粮食供需平衡户数</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≥80户</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保证粮食供需平衡长期稳定</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长期稳定</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调查结果准确率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54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410329220000000014003</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县级储备粮油利息补贴</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100.00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严格控制预算</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据实还息</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粮食数量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1万吨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保证运营主体良好信用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390"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贷款还息</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及时</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410329220000000015233</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县级储备粮轮换费用补贴</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轮换费用</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≤0.1元/公斤</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小麦轮换率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确保县级储备粮食安全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稳定确保</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r>
      <w:tr>
        <w:tblPrEx>
          <w:tblCellMar>
            <w:top w:w="15" w:type="dxa"/>
            <w:left w:w="15" w:type="dxa"/>
            <w:bottom w:w="15" w:type="dxa"/>
            <w:right w:w="15" w:type="dxa"/>
          </w:tblCellMar>
        </w:tblPrEx>
        <w:trPr>
          <w:trHeight w:val="450"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轮换粮食质量标准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国标三级以上</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410329220000000015236</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县级储备粮费用补贴</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80.00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保管费用</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≤0.1元/公斤/年</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县级储备小麦</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≥2万吨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确保县级储备粮食安全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长期</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储备质量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国标3级以上</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410329220000000016815</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仓库维修资金</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维修改造成本</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严格控制预算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仓库维修区域</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全县区域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确保粮食储备安全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合格</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≥98%</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维修质量合格率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410329220000000016846</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新增1万吨地储粮轮换费用</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轮换费用</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≤0.1元/公斤</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小麦轮换率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确保县级储备粮食安全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稳定确保</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≥99%</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轮换粮食质量标准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国标3级以上</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35"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410329220000000023057</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确认应剥离新增粮食财务挂账利息</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55.00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55.00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严格控制预算</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据实还息</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确认应剥离新增粮食</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挂账利息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保证良好信用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贷款还息</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及时</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6" w:hRule="atLeast"/>
        </w:trPr>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410329220000000080823</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产粮大县奖励资金等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448.00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629" w:hRule="atLeast"/>
        </w:trPr>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410329220000000082412</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提前下达2022年粮食生产一次性奖励资金</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380.00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380.00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410329220000000082427</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提前下达2022年产棉大县奖励资金</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182.00</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182.00</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420" w:hRule="atLeast"/>
        </w:trPr>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410329220000000113616</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粮食财务挂账利息补贴</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20.00</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严格的控制预算</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据实付息</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粮食财务挂账利息</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挂账利息</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保障良好使用</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保证</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服务对象满意度</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r>
      <w:tr>
        <w:tblPrEx>
          <w:tblCellMar>
            <w:top w:w="15" w:type="dxa"/>
            <w:left w:w="15" w:type="dxa"/>
            <w:bottom w:w="15" w:type="dxa"/>
            <w:right w:w="15" w:type="dxa"/>
          </w:tblCellMar>
        </w:tblPrEx>
        <w:trPr>
          <w:trHeight w:val="286" w:hRule="atLeast"/>
        </w:trPr>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贷款还息</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及时</w:t>
            </w: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bl>
    <w:p/>
    <w:sectPr>
      <w:pgSz w:w="16838" w:h="11906" w:orient="landscape"/>
      <w:pgMar w:top="1066" w:right="930" w:bottom="1123" w:left="155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2"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_x0000_s4098" o:spid="_x0000_s4098"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0000007"/>
    <w:multiLevelType w:val="singleLevel"/>
    <w:tmpl w:val="000000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2NjBkNzE0ZDhiODNhOTAzMjdhYWZlNDA2N2M1OGUifQ=="/>
  </w:docVars>
  <w:rsids>
    <w:rsidRoot w:val="00006DD7"/>
    <w:rsid w:val="00006DD7"/>
    <w:rsid w:val="001D6B0A"/>
    <w:rsid w:val="009A2C70"/>
    <w:rsid w:val="00B96B95"/>
    <w:rsid w:val="037F3590"/>
    <w:rsid w:val="0A104398"/>
    <w:rsid w:val="1D2A32F4"/>
    <w:rsid w:val="1FC61D6D"/>
    <w:rsid w:val="201E43A1"/>
    <w:rsid w:val="232E5C5F"/>
    <w:rsid w:val="286D441C"/>
    <w:rsid w:val="35D84B7A"/>
    <w:rsid w:val="3F223018"/>
    <w:rsid w:val="484E0DCF"/>
    <w:rsid w:val="4FA60DDD"/>
    <w:rsid w:val="4FDD71D7"/>
    <w:rsid w:val="5119150D"/>
    <w:rsid w:val="51F11680"/>
    <w:rsid w:val="57A91399"/>
    <w:rsid w:val="5868586F"/>
    <w:rsid w:val="5D585B6F"/>
    <w:rsid w:val="5F0F6357"/>
    <w:rsid w:val="608964B1"/>
    <w:rsid w:val="63D5104E"/>
    <w:rsid w:val="647109E4"/>
    <w:rsid w:val="654613A3"/>
    <w:rsid w:val="66BD14EB"/>
    <w:rsid w:val="67A62C11"/>
    <w:rsid w:val="6B4B5FC6"/>
    <w:rsid w:val="74A04E72"/>
    <w:rsid w:val="76E36628"/>
    <w:rsid w:val="77B3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9315</Words>
  <Characters>11757</Characters>
  <Lines>113</Lines>
  <Paragraphs>32</Paragraphs>
  <TotalTime>1</TotalTime>
  <ScaleCrop>false</ScaleCrop>
  <LinksUpToDate>false</LinksUpToDate>
  <CharactersWithSpaces>13038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2022-06-30T09:19:00Z</dcterms:created>
  <dc:creator>coffee</dc:creator>
  <cp:lastModifiedBy>Administrator</cp:lastModifiedBy>
  <cp:lastPrinted>2022-07-01T01:24:00Z</cp:lastPrinted>
  <dcterms:modified xsi:type="dcterms:W3CDTF">2023-07-14T02:22:49Z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1C17914A98804421A884E6B2BEC2FC50</vt:lpwstr>
  </property>
</Properties>
</file>