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wordWrap/>
        <w:autoSpaceDE w:val="0"/>
        <w:autoSpaceDN w:val="0"/>
        <w:adjustRightInd w:val="0"/>
        <w:snapToGrid w:val="0"/>
        <w:spacing w:line="6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022年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伊川县文化广电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和旅游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局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6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部门预算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eastAsia="zh-CN"/>
        </w:rPr>
        <w:t>说明</w:t>
      </w:r>
    </w:p>
    <w:p>
      <w:pPr>
        <w:spacing w:line="243" w:lineRule="auto"/>
        <w:rPr>
          <w:rFonts w:ascii="Arial"/>
          <w:sz w:val="21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00" w:lineRule="exact"/>
        <w:textAlignment w:val="baseline"/>
        <w:rPr>
          <w:rFonts w:ascii="Arial"/>
          <w:sz w:val="21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right="323" w:firstLine="638"/>
        <w:jc w:val="center"/>
        <w:textAlignment w:val="baseline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目录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right="323" w:firstLine="638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第一部分伊川县文化广电和旅游局概况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4"/>
          <w:position w:val="3"/>
          <w:sz w:val="32"/>
          <w:szCs w:val="32"/>
        </w:rPr>
        <w:t>、主要职能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二、机构设置及部门预算单位构</w:t>
      </w:r>
      <w:r>
        <w:rPr>
          <w:rFonts w:hint="eastAsia" w:ascii="仿宋_GB2312" w:hAnsi="仿宋_GB2312" w:eastAsia="仿宋_GB2312" w:cs="仿宋_GB2312"/>
          <w:spacing w:val="5"/>
          <w:position w:val="2"/>
          <w:sz w:val="32"/>
          <w:szCs w:val="32"/>
        </w:rPr>
        <w:t>成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right="323" w:firstLine="638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7"/>
          <w:sz w:val="32"/>
          <w:szCs w:val="32"/>
        </w:rPr>
        <w:t>二部分2022年伊川县文化广电和旅游局部门预算情</w:t>
      </w:r>
      <w:r>
        <w:rPr>
          <w:rFonts w:hint="eastAsia" w:ascii="黑体" w:hAnsi="黑体" w:eastAsia="黑体" w:cs="黑体"/>
          <w:spacing w:val="5"/>
          <w:sz w:val="32"/>
          <w:szCs w:val="32"/>
        </w:rPr>
        <w:t>况说</w:t>
      </w:r>
      <w:r>
        <w:rPr>
          <w:rFonts w:hint="eastAsia" w:ascii="黑体" w:hAnsi="黑体" w:eastAsia="黑体" w:cs="黑体"/>
          <w:spacing w:val="4"/>
          <w:sz w:val="32"/>
          <w:szCs w:val="32"/>
        </w:rPr>
        <w:t>明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638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第三部分名</w:t>
      </w:r>
      <w:r>
        <w:rPr>
          <w:rFonts w:hint="eastAsia" w:ascii="黑体" w:hAnsi="黑体" w:eastAsia="黑体" w:cs="黑体"/>
          <w:sz w:val="32"/>
          <w:szCs w:val="32"/>
        </w:rPr>
        <w:t>词解释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附件：</w:t>
      </w:r>
      <w:r>
        <w:rPr>
          <w:rFonts w:hint="eastAsia" w:ascii="黑体" w:hAnsi="黑体" w:eastAsia="黑体" w:cs="黑体"/>
          <w:spacing w:val="4"/>
          <w:sz w:val="32"/>
          <w:szCs w:val="32"/>
        </w:rPr>
        <w:t>2022年</w:t>
      </w:r>
      <w:r>
        <w:rPr>
          <w:rFonts w:hint="eastAsia" w:ascii="黑体" w:hAnsi="黑体" w:eastAsia="黑体" w:cs="黑体"/>
          <w:spacing w:val="5"/>
          <w:sz w:val="32"/>
          <w:szCs w:val="32"/>
        </w:rPr>
        <w:t>伊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川县文化广电和旅游局部门预算</w:t>
      </w: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一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、部门收支预算表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1"/>
          <w:szCs w:val="31"/>
        </w:rPr>
        <w:t>二</w:t>
      </w:r>
      <w:r>
        <w:rPr>
          <w:rFonts w:hint="eastAsia" w:ascii="仿宋_GB2312" w:hAnsi="仿宋_GB2312" w:eastAsia="仿宋_GB2312" w:cs="仿宋_GB2312"/>
          <w:spacing w:val="6"/>
          <w:position w:val="2"/>
          <w:sz w:val="31"/>
          <w:szCs w:val="31"/>
        </w:rPr>
        <w:t>、部门收入预算表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三、部门支出预算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四、财政拨款收支预算表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五、一般公共预算支出预算表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六、一般公共预算基本支出预算表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七、支出经济分类汇总表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八、一般公共预算“三公”经费预算表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九、政府性基金预算支出预算表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十、国有资本经营预算支出预算表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十一、项目支出预算表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十二、部门(单位)整体绩效目标表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ind w:left="976" w:right="693" w:hanging="321"/>
        <w:textAlignment w:val="baseline"/>
        <w:rPr>
          <w:rFonts w:hint="eastAsia" w:ascii="仿宋_GB2312" w:hAnsi="仿宋_GB2312" w:eastAsia="仿宋_GB2312" w:cs="仿宋_GB2312"/>
          <w:spacing w:val="9"/>
          <w:sz w:val="31"/>
          <w:szCs w:val="31"/>
        </w:rPr>
        <w:sectPr>
          <w:footerReference r:id="rId5" w:type="default"/>
          <w:pgSz w:w="11906" w:h="16839"/>
          <w:pgMar w:top="1701" w:right="1587" w:bottom="1587" w:left="1587" w:header="0" w:footer="1417" w:gutter="0"/>
          <w:pgNumType w:fmt="numberInDash"/>
          <w:cols w:space="720" w:num="1"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十三、部门预算项目绩效目标表</w:t>
      </w:r>
    </w:p>
    <w:p>
      <w:pPr>
        <w:spacing w:before="140" w:line="240" w:lineRule="auto"/>
        <w:ind w:left="349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6"/>
          <w:sz w:val="36"/>
          <w:szCs w:val="36"/>
        </w:rPr>
        <w:t>第</w:t>
      </w:r>
      <w:r>
        <w:rPr>
          <w:rFonts w:ascii="黑体" w:hAnsi="黑体" w:eastAsia="黑体" w:cs="黑体"/>
          <w:spacing w:val="5"/>
          <w:sz w:val="36"/>
          <w:szCs w:val="36"/>
        </w:rPr>
        <w:t>一部分</w:t>
      </w:r>
    </w:p>
    <w:p>
      <w:pPr>
        <w:spacing w:before="178" w:line="240" w:lineRule="auto"/>
        <w:ind w:left="2294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6"/>
          <w:sz w:val="32"/>
          <w:szCs w:val="32"/>
        </w:rPr>
        <w:t>伊</w:t>
      </w:r>
      <w:r>
        <w:rPr>
          <w:rFonts w:hint="eastAsia" w:ascii="宋体" w:hAnsi="宋体" w:eastAsia="宋体" w:cs="宋体"/>
          <w:b/>
          <w:bCs/>
          <w:spacing w:val="10"/>
          <w:sz w:val="32"/>
          <w:szCs w:val="32"/>
        </w:rPr>
        <w:t>川</w:t>
      </w:r>
      <w:r>
        <w:rPr>
          <w:rFonts w:hint="eastAsia" w:ascii="宋体" w:hAnsi="宋体" w:eastAsia="宋体" w:cs="宋体"/>
          <w:b/>
          <w:bCs/>
          <w:spacing w:val="8"/>
          <w:sz w:val="32"/>
          <w:szCs w:val="32"/>
        </w:rPr>
        <w:t>县文化广电和旅游局概况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pacing w:val="9"/>
          <w:position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position w:val="4"/>
          <w:sz w:val="32"/>
          <w:szCs w:val="32"/>
        </w:rPr>
        <w:t>一、伊川县文化广电和旅游局主要职</w:t>
      </w:r>
      <w:r>
        <w:rPr>
          <w:rFonts w:ascii="黑体" w:hAnsi="黑体" w:eastAsia="黑体" w:cs="黑体"/>
          <w:spacing w:val="6"/>
          <w:position w:val="4"/>
          <w:sz w:val="32"/>
          <w:szCs w:val="32"/>
        </w:rPr>
        <w:t>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6"/>
          <w:sz w:val="32"/>
          <w:szCs w:val="32"/>
        </w:rPr>
        <w:t>1、贯彻党和国家的路线、方针、政策，具体落实上级关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333333"/>
          <w:spacing w:val="20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color w:val="333333"/>
          <w:spacing w:val="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color w:val="333333"/>
          <w:spacing w:val="10"/>
          <w:sz w:val="32"/>
          <w:szCs w:val="32"/>
        </w:rPr>
        <w:t>艺术、广播电视、文物和旅游工作的方针、政策和县委、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333333"/>
          <w:spacing w:val="1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府的指示，参与研究、制订全县文化艺术、广播电视、文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物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和旅游工作的政策、法规并组织实施。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33333"/>
          <w:spacing w:val="11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究、制订全县文化艺术、广播电视、文物和旅游事业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战略，编制并监督实施全县文化艺术、广播电视、文物和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旅</w:t>
      </w: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事业的长期发展规划和年度执行计划。参与指导和推动全</w:t>
      </w:r>
      <w:r>
        <w:rPr>
          <w:rFonts w:hint="eastAsia" w:ascii="仿宋_GB2312" w:hAnsi="仿宋_GB2312" w:eastAsia="仿宋_GB2312" w:cs="仿宋_GB2312"/>
          <w:color w:val="333333"/>
          <w:spacing w:val="1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  <w:t>文化体制改革。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、研究、制订全县文化、广播电视、文物和旅游市场发展</w:t>
      </w:r>
      <w:r>
        <w:rPr>
          <w:rFonts w:hint="eastAsia" w:ascii="仿宋_GB2312" w:hAnsi="仿宋_GB2312" w:eastAsia="仿宋_GB2312" w:cs="仿宋_GB2312"/>
          <w:color w:val="333333"/>
          <w:spacing w:val="13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划和执法行为规范，对全县文化、广播电视、文物和旅游领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域</w:t>
      </w:r>
      <w:r>
        <w:rPr>
          <w:rFonts w:hint="eastAsia" w:ascii="仿宋_GB2312" w:hAnsi="仿宋_GB2312" w:eastAsia="仿宋_GB2312" w:cs="仿宋_GB2312"/>
          <w:color w:val="333333"/>
          <w:spacing w:val="14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经营活动进行管理。指导、监督管理文化市场综合执法活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动。</w:t>
      </w:r>
      <w:r>
        <w:rPr>
          <w:rFonts w:hint="eastAsia" w:ascii="仿宋_GB2312" w:hAnsi="仿宋_GB2312" w:eastAsia="仿宋_GB2312" w:cs="仿宋_GB2312"/>
          <w:color w:val="333333"/>
          <w:spacing w:val="6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责伊川县文化市场管理工作领导小组办公室的日常工作，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color w:val="333333"/>
          <w:spacing w:val="14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全县文化市场管理工作计划和组织开展文化市场管理集中</w:t>
      </w:r>
      <w:r>
        <w:rPr>
          <w:rFonts w:hint="eastAsia" w:ascii="仿宋_GB2312" w:hAnsi="仿宋_GB2312" w:eastAsia="仿宋_GB2312" w:cs="仿宋_GB2312"/>
          <w:color w:val="333333"/>
          <w:spacing w:val="5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动等。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333333"/>
          <w:spacing w:val="12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导全县文学艺术创作与生产，组织全县性重大文化活</w:t>
      </w:r>
      <w:r>
        <w:rPr>
          <w:rFonts w:hint="eastAsia" w:ascii="仿宋_GB2312" w:hAnsi="仿宋_GB2312" w:eastAsia="仿宋_GB2312" w:cs="仿宋_GB2312"/>
          <w:color w:val="333333"/>
          <w:spacing w:val="13"/>
          <w:sz w:val="32"/>
          <w:szCs w:val="32"/>
        </w:rPr>
        <w:t>动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，扶持代表性、示范性、实验性文艺品种，推动各门类艺术</w:t>
      </w:r>
      <w:r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color w:val="333333"/>
          <w:spacing w:val="5"/>
          <w:sz w:val="32"/>
          <w:szCs w:val="32"/>
        </w:rPr>
        <w:t>业创新发展。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管理社会文化事业，协调推动各类文化事业的建设和发展，</w:t>
      </w:r>
      <w:r>
        <w:rPr>
          <w:rFonts w:hint="eastAsia" w:ascii="仿宋_GB2312" w:hAnsi="仿宋_GB2312" w:eastAsia="仿宋_GB2312" w:cs="仿宋_GB2312"/>
          <w:color w:val="333333"/>
          <w:spacing w:val="5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担全县文化社团的资格审查，负责管理全县图书馆事业，</w:t>
      </w:r>
      <w:r>
        <w:rPr>
          <w:rFonts w:hint="eastAsia" w:ascii="仿宋_GB2312" w:hAnsi="仿宋_GB2312" w:eastAsia="仿宋_GB2312" w:cs="仿宋_GB2312"/>
          <w:color w:val="333333"/>
          <w:spacing w:val="11"/>
          <w:sz w:val="32"/>
          <w:szCs w:val="32"/>
        </w:rPr>
        <w:t>指导图书文献资源的建设、开发和利用，推动图书馆标准化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现代</w:t>
      </w:r>
      <w:r>
        <w:rPr>
          <w:rFonts w:hint="eastAsia" w:ascii="仿宋_GB2312" w:hAnsi="仿宋_GB2312" w:eastAsia="仿宋_GB2312" w:cs="仿宋_GB2312"/>
          <w:color w:val="333333"/>
          <w:spacing w:val="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建设，组织实施非物质文化遗产保护和优秀民族文化的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传承普及等工作</w:t>
      </w:r>
      <w:r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依法审批管理乡镇社区有线电视系统，指导管理全县广</w:t>
      </w:r>
      <w:r>
        <w:rPr>
          <w:rFonts w:hint="eastAsia" w:ascii="仿宋_GB2312" w:hAnsi="仿宋_GB2312" w:eastAsia="仿宋_GB2312" w:cs="仿宋_GB2312"/>
          <w:color w:val="333333"/>
          <w:spacing w:val="14"/>
          <w:sz w:val="32"/>
          <w:szCs w:val="32"/>
        </w:rPr>
        <w:t>播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电视台(站)业务建设，保护全县广播电视设施，保证广播电</w:t>
      </w: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视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全播出，监督管理广播电视广告播放。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贯彻执行国家颁布的广播电视技术标准，指导和协调全县</w:t>
      </w:r>
      <w:r>
        <w:rPr>
          <w:rFonts w:hint="eastAsia" w:ascii="仿宋_GB2312" w:hAnsi="仿宋_GB2312" w:eastAsia="仿宋_GB2312" w:cs="仿宋_GB2312"/>
          <w:color w:val="333333"/>
          <w:spacing w:val="6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color w:val="333333"/>
          <w:spacing w:val="4"/>
          <w:sz w:val="32"/>
          <w:szCs w:val="32"/>
        </w:rPr>
        <w:t>播电视系统高新技术的科研开发应用，制定有关技术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</w:rPr>
        <w:t>规范，组织全县广播电视科学技术研究成果的评定、申报工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8、对全县广播电视专用网进行规划、建设和管理，指导广播电视网络的建设和开发工作，监督管理广播电视播出机构使用广播电视专用频段、广播电视频率(频道)和功率等技术参数，参与制订全县信息网络的总体规划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6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333333"/>
          <w:spacing w:val="-6"/>
          <w:sz w:val="32"/>
          <w:szCs w:val="32"/>
        </w:rPr>
        <w:t>研究、制订全县基层文化事业发展规划并组织实施，</w:t>
      </w: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指导全县基层文化建设和基层文化服务工作。参与研究、制订文化产业发展规划和政策，协调文化产业发展。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3"/>
          <w:sz w:val="32"/>
          <w:szCs w:val="32"/>
        </w:rPr>
        <w:t>10、负责全县文化、广播电视、文物和旅游等对外交流联</w:t>
      </w:r>
      <w:r>
        <w:rPr>
          <w:rFonts w:hint="eastAsia" w:ascii="仿宋_GB2312" w:hAnsi="仿宋_GB2312" w:eastAsia="仿宋_GB2312" w:cs="仿宋_GB2312"/>
          <w:color w:val="333333"/>
          <w:spacing w:val="1"/>
          <w:sz w:val="32"/>
          <w:szCs w:val="32"/>
        </w:rPr>
        <w:t>络</w:t>
      </w:r>
      <w:r>
        <w:rPr>
          <w:rFonts w:hint="eastAsia" w:ascii="仿宋_GB2312" w:hAnsi="仿宋_GB2312" w:eastAsia="仿宋_GB2312" w:cs="仿宋_GB2312"/>
          <w:color w:val="333333"/>
          <w:spacing w:val="1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作，制订交流规划，指导交流活动。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3"/>
          <w:sz w:val="32"/>
          <w:szCs w:val="32"/>
        </w:rPr>
        <w:t>11、拟定全县旅游业发展规划并组织实施，组织全县旅</w:t>
      </w:r>
      <w:r>
        <w:rPr>
          <w:rFonts w:hint="eastAsia" w:ascii="仿宋_GB2312" w:hAnsi="仿宋_GB2312" w:eastAsia="仿宋_GB2312" w:cs="仿宋_GB2312"/>
          <w:color w:val="333333"/>
          <w:spacing w:val="1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宣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传推</w:t>
      </w:r>
      <w:r>
        <w:rPr>
          <w:rFonts w:hint="eastAsia" w:ascii="仿宋_GB2312" w:hAnsi="仿宋_GB2312" w:eastAsia="仿宋_GB2312" w:cs="仿宋_GB2312"/>
          <w:color w:val="333333"/>
          <w:spacing w:val="12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和重大促销活动。加强对旅游行业的管理，提高接待质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量和服务水平</w:t>
      </w:r>
      <w:r>
        <w:rPr>
          <w:rFonts w:hint="eastAsia" w:ascii="仿宋_GB2312" w:hAnsi="仿宋_GB2312" w:eastAsia="仿宋_GB2312" w:cs="仿宋_GB2312"/>
          <w:color w:val="333333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</w:rPr>
        <w:t>12、负责全县旅游行业管理工作，指导旅游行业协会工作；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组织全县旅游业招商引资工作；负责全县旅游资源的调查、统计、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规划、开发和相关保护工作。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3"/>
          <w:sz w:val="32"/>
          <w:szCs w:val="32"/>
        </w:rPr>
        <w:t>13、指导、协调全县文物保护、抢救、发掘、研究、宣传</w:t>
      </w:r>
      <w:r>
        <w:rPr>
          <w:rFonts w:hint="eastAsia" w:ascii="仿宋_GB2312" w:hAnsi="仿宋_GB2312" w:eastAsia="仿宋_GB2312" w:cs="仿宋_GB2312"/>
          <w:color w:val="333333"/>
          <w:spacing w:val="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color w:val="333333"/>
          <w:spacing w:val="17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工作，搞好文物普查普探，加强文物仓库和县级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</w:rPr>
        <w:t>以上文物保护单位的安全管理，配合有关部门查处文物失窃、</w:t>
      </w:r>
      <w:r>
        <w:rPr>
          <w:rFonts w:hint="eastAsia" w:ascii="仿宋_GB2312" w:hAnsi="仿宋_GB2312" w:eastAsia="仿宋_GB2312" w:cs="仿宋_GB2312"/>
          <w:color w:val="333333"/>
          <w:spacing w:val="9"/>
          <w:sz w:val="32"/>
          <w:szCs w:val="32"/>
        </w:rPr>
        <w:t>破坏、盗掘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、走私等大案要案。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0" w:firstLineChars="200"/>
        <w:jc w:val="both"/>
        <w:textAlignment w:val="baseline"/>
        <w:rPr>
          <w:sz w:val="32"/>
          <w:szCs w:val="32"/>
        </w:rPr>
      </w:pPr>
      <w:r>
        <w:rPr>
          <w:rFonts w:ascii="黑体" w:hAnsi="黑体" w:eastAsia="黑体" w:cs="黑体"/>
          <w:spacing w:val="15"/>
          <w:position w:val="2"/>
          <w:sz w:val="32"/>
          <w:szCs w:val="32"/>
        </w:rPr>
        <w:t>二</w:t>
      </w:r>
      <w:r>
        <w:rPr>
          <w:rFonts w:ascii="黑体" w:hAnsi="黑体" w:eastAsia="黑体" w:cs="黑体"/>
          <w:spacing w:val="9"/>
          <w:position w:val="2"/>
          <w:sz w:val="32"/>
          <w:szCs w:val="32"/>
        </w:rPr>
        <w:t>、伊川县文化广电和旅游局机构设置及预算单位构成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县文化广电和旅游局部门预算包括局机关本级预算和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局属单位预算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在内汇总预算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伊川县文化广电和旅游局机关本级预算包括：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局办公室、广电传媒管理股、人事财务股、文化旅游股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的预算。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伊川县文化广电和旅游局所属单位预算包括：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1、伊川县文化广电和旅游局机关本级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2、伊川县人民文化馆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3、伊川县文物管理所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4、伊川县图书馆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5、伊川县文化市场综合行政执法大队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6、伊川县二程文化园管理处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sectPr>
          <w:pgSz w:w="11906" w:h="16839"/>
          <w:pgMar w:top="1701" w:right="1587" w:bottom="1587" w:left="1587" w:header="0" w:footer="1417" w:gutter="0"/>
          <w:pgNumType w:fmt="numberInDash"/>
          <w:cols w:space="720" w:num="1"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7、伊川县文物保护管理委员会办公室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3495" w:firstLine="0" w:firstLineChars="0"/>
        <w:textAlignment w:val="baseline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6"/>
          <w:sz w:val="36"/>
          <w:szCs w:val="36"/>
        </w:rPr>
        <w:t>第</w:t>
      </w:r>
      <w:r>
        <w:rPr>
          <w:rFonts w:ascii="黑体" w:hAnsi="黑体" w:eastAsia="黑体" w:cs="黑体"/>
          <w:spacing w:val="5"/>
          <w:sz w:val="36"/>
          <w:szCs w:val="36"/>
        </w:rPr>
        <w:t>二部分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769" w:firstLine="0" w:firstLineChars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position w:val="21"/>
          <w:sz w:val="32"/>
          <w:szCs w:val="32"/>
        </w:rPr>
        <w:t>2022年</w:t>
      </w:r>
      <w:r>
        <w:rPr>
          <w:rFonts w:hint="eastAsia" w:ascii="宋体" w:hAnsi="宋体" w:eastAsia="宋体" w:cs="宋体"/>
          <w:b/>
          <w:bCs/>
          <w:spacing w:val="9"/>
          <w:position w:val="21"/>
          <w:sz w:val="32"/>
          <w:szCs w:val="32"/>
        </w:rPr>
        <w:t>伊</w:t>
      </w:r>
      <w:r>
        <w:rPr>
          <w:rFonts w:hint="eastAsia" w:ascii="宋体" w:hAnsi="宋体" w:eastAsia="宋体" w:cs="宋体"/>
          <w:b/>
          <w:bCs/>
          <w:spacing w:val="5"/>
          <w:position w:val="21"/>
          <w:sz w:val="32"/>
          <w:szCs w:val="32"/>
        </w:rPr>
        <w:t>川县文化广电和旅游局部门预算情况说明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8"/>
          <w:position w:val="4"/>
          <w:sz w:val="32"/>
          <w:szCs w:val="32"/>
        </w:rPr>
        <w:t>、收入支出预算总体情况说明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伊川县文化广电和旅游局2022年收入总计1758.4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万元，支出总计1758.4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万元，与2021年预算相比，收入增加288.57万元，增长19.63%。主要原因：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上级资金结余结转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支出增加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288.57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万元，增长19.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主要原因：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上级资金结余结转。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position w:val="2"/>
          <w:sz w:val="32"/>
          <w:szCs w:val="32"/>
        </w:rPr>
        <w:t>二</w:t>
      </w:r>
      <w:r>
        <w:rPr>
          <w:rFonts w:ascii="黑体" w:hAnsi="黑体" w:eastAsia="黑体" w:cs="黑体"/>
          <w:spacing w:val="8"/>
          <w:position w:val="2"/>
          <w:sz w:val="32"/>
          <w:szCs w:val="32"/>
        </w:rPr>
        <w:t>、收入预算总体情况说明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伊川县文化广电和旅游局2022年收入合计1758.4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万元，其中：一般公共预算1274.76万元;上年结转结余483.64万元。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</w:t>
      </w:r>
      <w:r>
        <w:rPr>
          <w:rFonts w:ascii="黑体" w:hAnsi="黑体" w:eastAsia="黑体" w:cs="黑体"/>
          <w:spacing w:val="13"/>
          <w:sz w:val="32"/>
          <w:szCs w:val="32"/>
        </w:rPr>
        <w:t>支</w:t>
      </w:r>
      <w:r>
        <w:rPr>
          <w:rFonts w:ascii="黑体" w:hAnsi="黑体" w:eastAsia="黑体" w:cs="黑体"/>
          <w:spacing w:val="7"/>
          <w:sz w:val="32"/>
          <w:szCs w:val="32"/>
        </w:rPr>
        <w:t>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伊川县文化广电和旅游局2022年支出合计1758.4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其中基本支出548.86万元，占31.21%；项目支出1209.54万元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占68.79%。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四</w:t>
      </w:r>
      <w:r>
        <w:rPr>
          <w:rFonts w:ascii="黑体" w:hAnsi="黑体" w:eastAsia="黑体" w:cs="黑体"/>
          <w:spacing w:val="8"/>
          <w:sz w:val="32"/>
          <w:szCs w:val="32"/>
        </w:rPr>
        <w:t>、财政拨款收入支出预算总体情况说明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伊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川县文化广电和旅游局2022年一般公共预算收支预算1758.4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，政府性基金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收支预算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。与2021年预算相比，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一般公共预算收支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增加288.57万元，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19.63%。主要原因：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上级资金结转结余；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政府性基金收支预算增加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0万元，与上年持平。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五</w:t>
      </w:r>
      <w:r>
        <w:rPr>
          <w:rFonts w:ascii="黑体" w:hAnsi="黑体" w:eastAsia="黑体" w:cs="黑体"/>
          <w:spacing w:val="9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一般公共预算支出预算情况说明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伊川县文化广电和旅游局2022年一般公共预算支出年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初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</w:rPr>
        <w:t>预算为1758.4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pacing w:val="-11"/>
          <w:sz w:val="32"/>
          <w:szCs w:val="32"/>
        </w:rPr>
        <w:t>万元。其中：基本支出548.86万元，占31.21%；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出1209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.54万元，占68.79%。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六</w:t>
      </w:r>
      <w:r>
        <w:rPr>
          <w:rFonts w:ascii="黑体" w:hAnsi="黑体" w:eastAsia="黑体" w:cs="黑体"/>
          <w:spacing w:val="13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一般公共预算基本支出预算情况说明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川县文化广电和旅游局2022年一般公共预算基本支出年初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预算为548.86万元。其中：人员经费支出511.64万元，占93.22%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公用经费支出37.22万元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，占6.78%。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七、一般公共预算“三公”经费支出预算情况说</w:t>
      </w:r>
      <w:r>
        <w:rPr>
          <w:rFonts w:hint="eastAsia" w:ascii="黑体" w:hAnsi="黑体" w:eastAsia="黑体" w:cs="黑体"/>
          <w:spacing w:val="8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伊川县文化广电和旅游局2022年“三公”经费预算为5.58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。2022年“三公”经费支出预算数比2021年增长2.38万元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74.38%。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因公出国(境)费0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主要用于单位工作人员公务出国(境)的住宿费、旅费、伙食补助费、杂费、培训费等支出。预算数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保持一致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1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)公务接待费2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主要用于按规定开支的各类公务接待(含外宾接待)支出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预算数比2021年增加2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因疫情原因，上年度未做公务接待预算。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)公务用车购置及运行费3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.58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其中，公务用车购置费0万元；公务用车运行维护费3.58万元，主要用于开展工作所需公务用车的燃料费、维修费、过路过桥费、保险费、安全奖励费用等支出。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公务用车购置费预算数比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2021年增加0万元，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主要原因：严格中央八项规定，节约支出。公务用车运行维护费预算数比2021年增加0.38万元，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11.88%，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公务用车出勤次数增加。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sz w:val="32"/>
          <w:szCs w:val="32"/>
        </w:rPr>
        <w:t>八</w:t>
      </w:r>
      <w:r>
        <w:rPr>
          <w:rFonts w:ascii="黑体" w:hAnsi="黑体" w:eastAsia="黑体" w:cs="黑体"/>
          <w:spacing w:val="9"/>
          <w:sz w:val="32"/>
          <w:szCs w:val="32"/>
        </w:rPr>
        <w:t>、政府性基金预算支出决算情况说明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伊川县文化广电和旅游局2022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无政府性基金预算拨款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排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九、国有资本经营预算支出预算情况说</w:t>
      </w:r>
      <w:r>
        <w:rPr>
          <w:rFonts w:ascii="黑体" w:hAnsi="黑体" w:eastAsia="黑体" w:cs="黑体"/>
          <w:spacing w:val="6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伊川县文化广电和旅游局2022年无国有资本经营预算拨款安排的支出。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十</w:t>
      </w:r>
      <w:r>
        <w:rPr>
          <w:rFonts w:ascii="黑体" w:hAnsi="黑体" w:eastAsia="黑体" w:cs="黑体"/>
          <w:spacing w:val="7"/>
          <w:sz w:val="32"/>
          <w:szCs w:val="32"/>
        </w:rPr>
        <w:t>、</w:t>
      </w:r>
      <w:r>
        <w:rPr>
          <w:rFonts w:ascii="黑体" w:hAnsi="黑体" w:eastAsia="黑体" w:cs="黑体"/>
          <w:spacing w:val="6"/>
          <w:sz w:val="32"/>
          <w:szCs w:val="32"/>
        </w:rPr>
        <w:t>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(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一)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eastAsia="zh-CN"/>
        </w:rPr>
        <w:t>行政单位机构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运行经费支出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eastAsia="zh-CN"/>
        </w:rPr>
        <w:t>预算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伊川县文化广电和旅游局2022年机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运行经费支出预算37.22万元，主要保障机构正常运转及正常履职需要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所需支出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，包含公用经费、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公务交通补贴、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工会经费、职工福利费等。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2021年相比增加1.39万元，增长3.88%，主要原因：公用经费增长。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(二)政府采购支出情况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2021年政府采购预算安排0万元，其中：政府采购货物预算0万元、政府采购工程预算0万元、政府采购服务预算0万元。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(三)绩效目标设置情况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伊川县文化广电和旅游局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(四)国有资产占用情况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2021年期末，伊川县文化广电和旅游局共有车辆4辆，其中：一般公务用车0辆、一般执法执勤用车0辆、特种专业技术用车0辆，其他用车4辆，其他用车主要是图书馆业务用车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、图书馆流动服务车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辆，文化馆业务用车1辆、文化馆流动服务车1辆；单价50万元以上通用设备0套，单位价值100万元以上专用设备0套。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(五)专项转移支付项目情况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sectPr>
          <w:pgSz w:w="11906" w:h="16839"/>
          <w:pgMar w:top="1701" w:right="1587" w:bottom="1587" w:left="1587" w:header="0" w:footer="1417" w:gutter="0"/>
          <w:pgNumType w:fmt="numberInDash"/>
          <w:cols w:space="720" w:num="1"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伊川县文化广电和旅游局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2022年无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负责管理的专项转移支付项目。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40" w:line="703" w:lineRule="exact"/>
        <w:ind w:left="349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position w:val="19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position w:val="19"/>
          <w:sz w:val="43"/>
          <w:szCs w:val="43"/>
        </w:rPr>
        <w:t>三部分</w:t>
      </w:r>
    </w:p>
    <w:p>
      <w:pPr>
        <w:spacing w:before="1" w:line="227" w:lineRule="auto"/>
        <w:ind w:left="37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名词解</w:t>
      </w:r>
      <w:r>
        <w:rPr>
          <w:rFonts w:ascii="黑体" w:hAnsi="黑体" w:eastAsia="黑体" w:cs="黑体"/>
          <w:spacing w:val="5"/>
          <w:sz w:val="31"/>
          <w:szCs w:val="31"/>
        </w:rPr>
        <w:t>释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一、财政拨款收入：是指同级财政当年拨付的资金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三、其他收入：是指部门取得的除“财政拨款”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四、用事业基金弥补收支差额：是指事业单位在当年的“财政拨款收入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七、“三公”经费：是指纳入同级财政预算管理，部门使用财政拨款安排的因公出国(境)费、公务用车购置及运行费和公务接待费。其中，因公出国(境)费反映单位公务出国(境)的住宿费、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八、行政（事业）单位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运行经费：是指为保障行政单位(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包括行政单位和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事业单位)运行用于购买货物和服务的各项资金，包括办公及印刷费、邮电费、差旅费、会议费、福利费、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附件：伊川县文化广电和旅游局2022年部门预算表</w:t>
      </w:r>
    </w:p>
    <w:p>
      <w:pPr>
        <w:numPr>
          <w:ilvl w:val="0"/>
          <w:numId w:val="0"/>
        </w:numPr>
        <w:spacing w:before="3" w:line="360" w:lineRule="auto"/>
        <w:ind w:left="1050" w:leftChars="0"/>
        <w:rPr>
          <w:rFonts w:ascii="仿宋" w:hAnsi="仿宋" w:eastAsia="仿宋" w:cs="仿宋"/>
          <w:spacing w:val="9"/>
          <w:sz w:val="31"/>
          <w:szCs w:val="31"/>
        </w:rPr>
      </w:pPr>
    </w:p>
    <w:p>
      <w:pPr>
        <w:spacing w:before="33" w:line="362" w:lineRule="auto"/>
        <w:ind w:firstLine="649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before="33" w:line="362" w:lineRule="auto"/>
        <w:ind w:firstLine="649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before="33" w:line="362" w:lineRule="auto"/>
        <w:ind w:firstLine="649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before="33" w:line="362" w:lineRule="auto"/>
        <w:ind w:firstLine="649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before="33" w:line="362" w:lineRule="auto"/>
        <w:ind w:firstLine="649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sectPr>
          <w:footerReference r:id="rId6" w:type="default"/>
          <w:pgSz w:w="11906" w:h="16839"/>
          <w:pgMar w:top="1701" w:right="1587" w:bottom="1587" w:left="1587" w:header="0" w:footer="1417" w:gutter="0"/>
          <w:pgNumType w:fmt="numberInDash"/>
          <w:cols w:space="720" w:num="1"/>
          <w:rtlGutter w:val="0"/>
          <w:docGrid w:linePitch="1" w:charSpace="0"/>
        </w:sectPr>
      </w:pPr>
    </w:p>
    <w:p>
      <w:pPr>
        <w:spacing w:before="33" w:line="362" w:lineRule="auto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drawing>
          <wp:inline distT="0" distB="0" distL="114300" distR="114300">
            <wp:extent cx="8893175" cy="549211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3175" cy="5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90635" cy="27546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63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88095" cy="454977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4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91905" cy="5507990"/>
            <wp:effectExtent l="0" t="0" r="444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55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5555" cy="4862830"/>
            <wp:effectExtent l="0" t="0" r="1079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85555" cy="48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88095" cy="5474970"/>
            <wp:effectExtent l="0" t="0" r="825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54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9365" cy="5504180"/>
            <wp:effectExtent l="0" t="0" r="698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89365" cy="550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8095" cy="2106930"/>
            <wp:effectExtent l="0" t="0" r="825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90000" cy="2273300"/>
            <wp:effectExtent l="0" t="0" r="635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88095" cy="2366645"/>
            <wp:effectExtent l="0" t="0" r="825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bookmarkStart w:id="0" w:name="_GoBack"/>
      <w:bookmarkEnd w:id="0"/>
      <w:r>
        <w:drawing>
          <wp:inline distT="0" distB="0" distL="114300" distR="114300">
            <wp:extent cx="8890000" cy="5485765"/>
            <wp:effectExtent l="0" t="0" r="635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90000" cy="3817620"/>
            <wp:effectExtent l="0" t="0" r="635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88095" cy="5531485"/>
            <wp:effectExtent l="0" t="0" r="8255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553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8095" cy="5493385"/>
            <wp:effectExtent l="0" t="0" r="8255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54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8095" cy="3335655"/>
            <wp:effectExtent l="0" t="0" r="8255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</w:p>
    <w:p>
      <w:pPr>
        <w:spacing w:before="33" w:line="362" w:lineRule="auto"/>
      </w:pPr>
      <w:r>
        <w:drawing>
          <wp:inline distT="0" distB="0" distL="114300" distR="114300">
            <wp:extent cx="8886825" cy="5509260"/>
            <wp:effectExtent l="0" t="0" r="9525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6825" cy="5457190"/>
            <wp:effectExtent l="0" t="0" r="9525" b="1016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</w:pPr>
      <w:r>
        <w:drawing>
          <wp:inline distT="0" distB="0" distL="114300" distR="114300">
            <wp:extent cx="8886825" cy="5554980"/>
            <wp:effectExtent l="0" t="0" r="9525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3" w:line="362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8886825" cy="3197225"/>
            <wp:effectExtent l="0" t="0" r="9525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9" w:h="11906" w:orient="landscape"/>
      <w:pgMar w:top="1701" w:right="1417" w:bottom="1417" w:left="1417" w:header="0" w:footer="1134" w:gutter="0"/>
      <w:paperSrc/>
      <w:pgNumType w:fmt="numberInDash"/>
      <w:cols w:space="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TQ5OTBhMTkzYjVkMDllYzAyYTFhM2MwMDQyMWUifQ=="/>
  </w:docVars>
  <w:rsids>
    <w:rsidRoot w:val="00000000"/>
    <w:rsid w:val="008322BB"/>
    <w:rsid w:val="04FB0664"/>
    <w:rsid w:val="066B4C58"/>
    <w:rsid w:val="0C082751"/>
    <w:rsid w:val="0C4715A3"/>
    <w:rsid w:val="0F0F3823"/>
    <w:rsid w:val="0F19236B"/>
    <w:rsid w:val="10F12FEE"/>
    <w:rsid w:val="15823C39"/>
    <w:rsid w:val="1A7B09A2"/>
    <w:rsid w:val="1B1C179A"/>
    <w:rsid w:val="1B527002"/>
    <w:rsid w:val="1E271748"/>
    <w:rsid w:val="21091953"/>
    <w:rsid w:val="2C480F29"/>
    <w:rsid w:val="2D460600"/>
    <w:rsid w:val="2DC07B1A"/>
    <w:rsid w:val="2DF115AB"/>
    <w:rsid w:val="30566085"/>
    <w:rsid w:val="305A62E5"/>
    <w:rsid w:val="35FC416C"/>
    <w:rsid w:val="39C547AC"/>
    <w:rsid w:val="3B622212"/>
    <w:rsid w:val="3B787191"/>
    <w:rsid w:val="3B7B08C5"/>
    <w:rsid w:val="3C277FC6"/>
    <w:rsid w:val="3FBFDD23"/>
    <w:rsid w:val="3FE12927"/>
    <w:rsid w:val="44F56216"/>
    <w:rsid w:val="46415287"/>
    <w:rsid w:val="46DE5301"/>
    <w:rsid w:val="4718283D"/>
    <w:rsid w:val="49BC65B7"/>
    <w:rsid w:val="4D1E7438"/>
    <w:rsid w:val="50C44EE0"/>
    <w:rsid w:val="51BB57E3"/>
    <w:rsid w:val="52C06024"/>
    <w:rsid w:val="57613C9E"/>
    <w:rsid w:val="578110AD"/>
    <w:rsid w:val="584375EF"/>
    <w:rsid w:val="5D3A4215"/>
    <w:rsid w:val="5DE66397"/>
    <w:rsid w:val="5DED7EE9"/>
    <w:rsid w:val="6C8D4C6F"/>
    <w:rsid w:val="6D4976A4"/>
    <w:rsid w:val="6ECD25EA"/>
    <w:rsid w:val="72113D4E"/>
    <w:rsid w:val="72CC07B3"/>
    <w:rsid w:val="75B83839"/>
    <w:rsid w:val="76E62AB0"/>
    <w:rsid w:val="7F2F1091"/>
    <w:rsid w:val="7FDD503D"/>
    <w:rsid w:val="7FFEF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6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9">
    <w:name w:val="font21"/>
    <w:basedOn w:val="6"/>
    <w:qFormat/>
    <w:uiPriority w:val="0"/>
    <w:rPr>
      <w:rFonts w:ascii="宋体" w:hAnsi="宋体" w:eastAsia="宋体" w:cs="宋体"/>
      <w:color w:val="000000"/>
      <w:sz w:val="34"/>
      <w:szCs w:val="34"/>
      <w:u w:val="none"/>
    </w:rPr>
  </w:style>
  <w:style w:type="character" w:customStyle="1" w:styleId="10">
    <w:name w:val="font51"/>
    <w:basedOn w:val="6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3836</Words>
  <Characters>4111</Characters>
  <Lines>0</Lines>
  <Paragraphs>0</Paragraphs>
  <TotalTime>2</TotalTime>
  <ScaleCrop>false</ScaleCrop>
  <LinksUpToDate>false</LinksUpToDate>
  <CharactersWithSpaces>4111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2023-05-05T15:39:00Z</dcterms:created>
  <dc:creator>Data</dc:creator>
  <cp:lastModifiedBy>搏美广告（2）</cp:lastModifiedBy>
  <dcterms:modified xsi:type="dcterms:W3CDTF">2023-07-12T00:48:26Z</dcterms:modified>
  <dc:title>2022年伊川县文化广电和旅游局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2023-05-05T15:39:00Z</vt:filetime>
  </property>
  <property fmtid="{D5CDD505-2E9C-101B-9397-08002B2CF9AE}" pid="4" name="UsrData">
    <vt:lpwstr>6454b2a94e2c48b522f0f227</vt:lpwstr>
  </property>
  <property fmtid="{D5CDD505-2E9C-101B-9397-08002B2CF9AE}" pid="5" name="KSOProductBuildVer">
    <vt:lpwstr>2052-11.1.0.14309</vt:lpwstr>
  </property>
  <property fmtid="{D5CDD505-2E9C-101B-9397-08002B2CF9AE}" pid="6" name="ICV">
    <vt:lpwstr>8ED08BD7322244A7B51F2E872DC4D087_13</vt:lpwstr>
  </property>
</Properties>
</file>