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3"/>
          <w:szCs w:val="43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3"/>
          <w:szCs w:val="43"/>
        </w:rPr>
        <w:t>年伊川县图书馆预算说明</w:t>
      </w:r>
    </w:p>
    <w:p>
      <w:pPr>
        <w:spacing w:line="287" w:lineRule="auto"/>
        <w:rPr>
          <w:spacing w:val="0"/>
          <w:position w:val="0"/>
        </w:rPr>
      </w:pPr>
    </w:p>
    <w:p>
      <w:pPr>
        <w:spacing w:before="114" w:line="637" w:lineRule="exact"/>
        <w:ind w:left="3776"/>
        <w:rPr>
          <w:rFonts w:ascii="黑体" w:hAnsi="黑体" w:eastAsia="黑体" w:cs="黑体"/>
          <w:spacing w:val="0"/>
          <w:position w:val="0"/>
          <w:sz w:val="35"/>
          <w:szCs w:val="35"/>
        </w:rPr>
      </w:pPr>
      <w:r>
        <w:rPr>
          <w:rFonts w:ascii="黑体" w:hAnsi="黑体" w:eastAsia="黑体" w:cs="黑体"/>
          <w:spacing w:val="0"/>
          <w:position w:val="0"/>
          <w:sz w:val="35"/>
          <w:szCs w:val="35"/>
        </w:rPr>
        <w:t>目</w:t>
      </w:r>
      <w:r>
        <w:rPr>
          <w:rFonts w:hint="eastAsia" w:ascii="黑体" w:hAnsi="黑体" w:eastAsia="黑体" w:cs="黑体"/>
          <w:spacing w:val="0"/>
          <w:position w:val="0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5"/>
          <w:szCs w:val="35"/>
        </w:rPr>
        <w:t>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3776"/>
        <w:textAlignment w:val="baseline"/>
        <w:rPr>
          <w:rFonts w:ascii="黑体" w:hAnsi="黑体" w:eastAsia="黑体" w:cs="黑体"/>
          <w:spacing w:val="0"/>
          <w:position w:val="0"/>
          <w:sz w:val="35"/>
          <w:szCs w:val="3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398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伊川县图书馆概况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400" w:lineRule="exact"/>
        <w:ind w:left="735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二、单位所属预算单位构成情况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7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第二部分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2022年伊川县图书馆预算情况说明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7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第三部分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7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附件：2022年伊川县图书馆预算表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三、单位支出预算表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七、支出经济分类汇总表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十、国有资本经营预算支出预算表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十二、单位预算项目绩效目标表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737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3" w:type="default"/>
          <w:pgSz w:w="11906" w:h="16839"/>
          <w:pgMar w:top="1984" w:right="1587" w:bottom="1701" w:left="1587" w:header="0" w:footer="1134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14" w:line="227" w:lineRule="auto"/>
        <w:ind w:left="3696"/>
        <w:rPr>
          <w:rFonts w:ascii="黑体" w:hAnsi="黑体" w:eastAsia="黑体" w:cs="黑体"/>
          <w:spacing w:val="0"/>
          <w:position w:val="0"/>
          <w:sz w:val="36"/>
          <w:szCs w:val="36"/>
        </w:rPr>
      </w:pPr>
      <w:r>
        <w:rPr>
          <w:rFonts w:ascii="黑体" w:hAnsi="黑体" w:eastAsia="黑体" w:cs="黑体"/>
          <w:spacing w:val="0"/>
          <w:position w:val="0"/>
          <w:sz w:val="36"/>
          <w:szCs w:val="36"/>
        </w:rPr>
        <w:t>第一部分</w:t>
      </w:r>
    </w:p>
    <w:p>
      <w:pPr>
        <w:spacing w:before="206" w:line="225" w:lineRule="auto"/>
        <w:ind w:left="3130"/>
        <w:rPr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  <w:t>伊川县图书馆概况</w:t>
      </w:r>
    </w:p>
    <w:p>
      <w:pPr>
        <w:spacing w:line="359" w:lineRule="auto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伊川县图书馆主要职责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1.保存借阅图书资料和古籍保护，促进社会经济文化发展。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2.图书、资料、文献、报刊、音像资料采编与储藏。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3.图书资料借阅与网络系统设计、施工、维护、管理，文献数字化处理。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4.图书馆学研究图书、期刊、资料编辑出版知识培训与社会教育古籍保护。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二、伊川县图书馆预算单位构成情况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预算为伊川县图书馆本级预算。伊川县图书馆内设12个职能部(室)，本预算包括办公室、业务辅导部、采编室、人事财务室、技术部、少儿阅览室、电子阅览室、古籍室、盲人阅览室、综合阅览室、报刊室、借阅室、党员活动室、多媒体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  <w:sectPr>
          <w:footerReference r:id="rId4" w:type="default"/>
          <w:pgSz w:w="11906" w:h="16839"/>
          <w:pgMar w:top="1984" w:right="1587" w:bottom="1701" w:left="1587" w:header="0" w:footer="1134" w:gutter="0"/>
          <w:pgNumType w:fmt="numberInDash" w:start="2"/>
          <w:cols w:space="0" w:num="1"/>
          <w:rtlGutter w:val="0"/>
          <w:docGrid w:linePitch="0" w:charSpace="0"/>
        </w:sectPr>
      </w:pPr>
    </w:p>
    <w:p>
      <w:pPr>
        <w:spacing w:before="114" w:line="227" w:lineRule="auto"/>
        <w:ind w:left="3706"/>
        <w:rPr>
          <w:rFonts w:ascii="黑体" w:hAnsi="黑体" w:eastAsia="黑体" w:cs="黑体"/>
          <w:spacing w:val="0"/>
          <w:position w:val="0"/>
          <w:sz w:val="36"/>
          <w:szCs w:val="36"/>
        </w:rPr>
      </w:pPr>
      <w:r>
        <w:rPr>
          <w:rFonts w:ascii="黑体" w:hAnsi="黑体" w:eastAsia="黑体" w:cs="黑体"/>
          <w:spacing w:val="0"/>
          <w:position w:val="0"/>
          <w:sz w:val="36"/>
          <w:szCs w:val="36"/>
        </w:rPr>
        <w:t>第二部分</w:t>
      </w:r>
    </w:p>
    <w:p>
      <w:pPr>
        <w:spacing w:before="206" w:line="225" w:lineRule="auto"/>
        <w:ind w:left="1971"/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</w:rPr>
        <w:t>2022年伊川县图书馆预算情况说明</w:t>
      </w:r>
    </w:p>
    <w:p>
      <w:pPr>
        <w:spacing w:line="359" w:lineRule="auto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收入总计337.00万元，支出总计337.00万元，与2021年预算相比，收入增加49.00万元,增长17.01%。主要原因：2022年增加上年结转39.80万元;支出增加49.00万元，增长17.01%。主要原因：2022年增加上年结转39.80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伊川县图书馆2022年收入合计337.00万元，其中：一般公共预算297.20万元;事业收入0万元；财政性结转资金39.80万元。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伊川县图书馆2022年支出合计337.00万元，其中:基本支出235.20万元，占69.79%；项目支出101.80万元，占30.21%。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一般公共预算收支预算297.20万元,政府性基金收支预算0万元。与2021年相比，一般公共预算收支预算增加9.20万元，增长3.19%，主要原因：基本支出人员保障类增加；2021年政府性基金收支预算0万元，无增长下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伊川县图书馆2022年一般公共预算支出年初预算为337.00万元。其中：基本支出235.20万元,占69.79%；项目支出101.80万元，占30.21%。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伊川县图书馆2022年一般公共预算基本支出年初预算为235.20万元。其中：人员经费支出228.70万元，占97.24%；公用经费支出6.5万元,占2.76%。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伊川县图书馆2022年“三公”经费支出预算为1.79万元。2022年“三公”经费支出预算数比2021年减少0.11万元,减少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5.79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%。主要原因：2022年送图书下乡活动次数减少。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因公出国(境)费0万元，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主要用于单位工作人员公务出国(境)的住宿费、旅费、伙食补助费、杂费、培训费等支出。预算数与2021年保持一致无增减。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公务接待费0万元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主要用于按规定开支的各类公务接待(含外宾接待)支出，预算数与2021年保持一致无增减。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公务用车购置及运行费1.79万元，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其中:公务用车购置费0万元；公务用车运行维护费1.79万元，主要用于开展工作所需公务用车的燃料费、维修费、过路过桥费、保险费、安全奖励费用等支出。公务用车购置费预算数比2021年无增加减少，主要原因：2021年与2022年无购置公务车。公务用车运行维护费预算数比2021年减少0.11万元，减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5.79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%。主要原因：2022年送图书下乡活动次数减少。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八、政府性基金支出预算情况说明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伊川县图书馆2022年无政府性基金预算拨款安排的支出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九、国有资本经营预算支出预算情况说明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伊川县图书馆2022年无国有资本经营预算拨款安排的支出。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一</w:t>
      </w: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行政(事业)单位机构运行经费支出预算情况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机构运行经费支出预算6.5万元，主要保障机构正常运转及正常履职需要所需支出，包含公用经费、公务车交通补贴、工会经费、职工福利费等。与2021年预算相比,收入增加4.68万元,增长257.14%。主要原因：公用经费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二</w:t>
      </w: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政府采购支出预算情况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伊川县图书馆2022年政府采购预算安排34.59万元，其中:政府采购货物预算34.59万元、政府采购工程预算0万元、政府采购服务预算0万元。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三</w:t>
      </w: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四</w:t>
      </w: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2021年期末，伊川县图书馆共有车辆2辆，其中:一般公务用车0辆、一般执法执勤用车0辆、特种专业技术用车0辆，其他用车2辆，其他用车主要是业务用车1辆，流动服务车1辆，单位价值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五</w:t>
      </w:r>
      <w:r>
        <w:rPr>
          <w:rFonts w:hint="default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专项转移支付项目情况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伊川县图书馆2022年无负责管理的专项转移支付项目。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5" w:type="default"/>
          <w:pgSz w:w="11906" w:h="16839"/>
          <w:pgMar w:top="1984" w:right="1587" w:bottom="1701" w:left="1587" w:header="0" w:footer="1134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14" w:line="227" w:lineRule="auto"/>
        <w:ind w:left="3702"/>
        <w:rPr>
          <w:rFonts w:ascii="黑体" w:hAnsi="黑体" w:eastAsia="黑体" w:cs="黑体"/>
          <w:spacing w:val="0"/>
          <w:position w:val="0"/>
          <w:sz w:val="36"/>
          <w:szCs w:val="36"/>
        </w:rPr>
      </w:pPr>
      <w:r>
        <w:rPr>
          <w:rFonts w:ascii="黑体" w:hAnsi="黑体" w:eastAsia="黑体" w:cs="黑体"/>
          <w:spacing w:val="0"/>
          <w:position w:val="0"/>
          <w:sz w:val="36"/>
          <w:szCs w:val="36"/>
        </w:rPr>
        <w:t>第三部分</w:t>
      </w:r>
    </w:p>
    <w:p>
      <w:pPr>
        <w:spacing w:before="208" w:line="225" w:lineRule="auto"/>
        <w:jc w:val="center"/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  <w:t>名词解释</w:t>
      </w:r>
    </w:p>
    <w:p>
      <w:pPr>
        <w:spacing w:line="359" w:lineRule="auto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七、“三公”经费：是指纳入同级财政预算管理，单位使用财政拨款安排的因公出国(境)费、公务用车购置及运行费和公务接待费。其中，因公出国(境)费反映单位公务出国(境)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八、行政(事业)单位机构运行经费：是指为保障行政单位(包括行政单位和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tabs>
          <w:tab w:val="left" w:pos="12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sectPr>
          <w:footerReference r:id="rId6" w:type="default"/>
          <w:pgSz w:w="11906" w:h="16839"/>
          <w:pgMar w:top="1984" w:right="1587" w:bottom="1701" w:left="1587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附件：2022年伊川县图书馆预算表</w:t>
      </w:r>
    </w:p>
    <w:p>
      <w:pPr>
        <w:rPr>
          <w:rFonts w:eastAsia="宋体"/>
          <w:spacing w:val="0"/>
          <w:position w:val="0"/>
        </w:rPr>
      </w:pPr>
      <w:r>
        <w:drawing>
          <wp:inline distT="0" distB="0" distL="114300" distR="114300">
            <wp:extent cx="10177780" cy="6150610"/>
            <wp:effectExtent l="0" t="0" r="13970" b="254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7780" cy="61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pStyle w:val="3"/>
        <w:rPr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  <w:r>
        <w:drawing>
          <wp:inline distT="0" distB="0" distL="114300" distR="114300">
            <wp:extent cx="10175875" cy="1069975"/>
            <wp:effectExtent l="0" t="0" r="15875" b="1587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758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</w:pPr>
    </w:p>
    <w:p>
      <w:pPr>
        <w:rPr>
          <w:rFonts w:eastAsia="宋体"/>
          <w:spacing w:val="0"/>
          <w:position w:val="0"/>
        </w:rPr>
        <w:sectPr>
          <w:footerReference r:id="rId7" w:type="default"/>
          <w:pgSz w:w="16837" w:h="11905" w:orient="landscape"/>
          <w:pgMar w:top="1083" w:right="404" w:bottom="1253" w:left="400" w:header="0" w:footer="1134" w:gutter="0"/>
          <w:pgNumType w:fmt="numberInDash" w:start="9"/>
          <w:cols w:space="0" w:num="1"/>
          <w:rtlGutter w:val="0"/>
          <w:docGrid w:linePitch="0" w:charSpace="0"/>
        </w:sectPr>
      </w:pPr>
    </w:p>
    <w:p>
      <w:pPr>
        <w:sectPr>
          <w:footerReference r:id="rId8" w:type="default"/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77780" cy="3072130"/>
            <wp:effectExtent l="0" t="0" r="13970" b="1397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7778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80320" cy="6165215"/>
            <wp:effectExtent l="0" t="0" r="11430" b="698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0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73970" cy="3681730"/>
            <wp:effectExtent l="0" t="0" r="17780" b="1397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7397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06025" cy="3914775"/>
            <wp:effectExtent l="0" t="0" r="952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80320" cy="3762375"/>
            <wp:effectExtent l="0" t="0" r="11430" b="952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8924925" cy="2190750"/>
            <wp:effectExtent l="0" t="0" r="9525" b="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72700" cy="2166620"/>
            <wp:effectExtent l="0" t="0" r="0" b="508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72700" cy="2148840"/>
            <wp:effectExtent l="0" t="0" r="0" b="381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ectPr>
          <w:pgSz w:w="16837" w:h="11905" w:orient="landscape"/>
          <w:pgMar w:top="1083" w:right="404" w:bottom="1253" w:left="400" w:header="0" w:footer="1134" w:gutter="0"/>
          <w:pgNumType w:fmt="numberInDash"/>
          <w:cols w:space="0" w:num="1"/>
          <w:rtlGutter w:val="0"/>
          <w:docGrid w:linePitch="0" w:charSpace="0"/>
        </w:sectPr>
      </w:pPr>
      <w:r>
        <w:drawing>
          <wp:inline distT="0" distB="0" distL="114300" distR="114300">
            <wp:extent cx="10171430" cy="4048125"/>
            <wp:effectExtent l="0" t="0" r="1270" b="952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714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0177780" cy="4209415"/>
            <wp:effectExtent l="0" t="0" r="13970" b="63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7778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7" w:h="11905" w:orient="landscape"/>
      <w:pgMar w:top="1083" w:right="404" w:bottom="1253" w:left="400" w:header="0" w:footer="1134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6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2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3826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4109" o:spid="_x0000_s410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7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4110" o:spid="_x0000_s411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10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w:pict>
        <v:shape id="_x0000_s4112" o:spid="_x0000_s4112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YWI4ODgyZDQyMzFhMmMwNDdiNzJhZDE5M2IxYTcifQ=="/>
  </w:docVars>
  <w:rsids>
    <w:rsidRoot w:val="006776B4"/>
    <w:rsid w:val="0004547D"/>
    <w:rsid w:val="00221FF1"/>
    <w:rsid w:val="003063B9"/>
    <w:rsid w:val="004337F1"/>
    <w:rsid w:val="00546358"/>
    <w:rsid w:val="006776B4"/>
    <w:rsid w:val="0078442B"/>
    <w:rsid w:val="00801FAC"/>
    <w:rsid w:val="00BF71CA"/>
    <w:rsid w:val="00E239F6"/>
    <w:rsid w:val="00EE0511"/>
    <w:rsid w:val="00F44919"/>
    <w:rsid w:val="0E1655C1"/>
    <w:rsid w:val="118F1822"/>
    <w:rsid w:val="14B26995"/>
    <w:rsid w:val="16606B96"/>
    <w:rsid w:val="170C277B"/>
    <w:rsid w:val="174B533C"/>
    <w:rsid w:val="18187335"/>
    <w:rsid w:val="190C0488"/>
    <w:rsid w:val="1B260827"/>
    <w:rsid w:val="1DC21C75"/>
    <w:rsid w:val="1E695DE6"/>
    <w:rsid w:val="1EB5581B"/>
    <w:rsid w:val="237864CF"/>
    <w:rsid w:val="24B53444"/>
    <w:rsid w:val="24B65A3E"/>
    <w:rsid w:val="27AE0637"/>
    <w:rsid w:val="2DC759AD"/>
    <w:rsid w:val="2E08248B"/>
    <w:rsid w:val="35ED462F"/>
    <w:rsid w:val="3760042D"/>
    <w:rsid w:val="3B89488D"/>
    <w:rsid w:val="466E2488"/>
    <w:rsid w:val="47841160"/>
    <w:rsid w:val="4DD31633"/>
    <w:rsid w:val="4EBB069D"/>
    <w:rsid w:val="4F7D4166"/>
    <w:rsid w:val="54EC75A4"/>
    <w:rsid w:val="54FA02A0"/>
    <w:rsid w:val="56B42E78"/>
    <w:rsid w:val="57B939D9"/>
    <w:rsid w:val="57CB3282"/>
    <w:rsid w:val="57F72BA3"/>
    <w:rsid w:val="58F17717"/>
    <w:rsid w:val="5AB04F68"/>
    <w:rsid w:val="5DBC73E6"/>
    <w:rsid w:val="63C16339"/>
    <w:rsid w:val="669F7BA7"/>
    <w:rsid w:val="6928396E"/>
    <w:rsid w:val="6A015EB5"/>
    <w:rsid w:val="6BC06C3D"/>
    <w:rsid w:val="6BE261FC"/>
    <w:rsid w:val="741754B5"/>
    <w:rsid w:val="7573624A"/>
    <w:rsid w:val="7D3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6"/>
    <w:link w:val="9"/>
    <w:qFormat/>
    <w:uiPriority w:val="1"/>
    <w:rPr>
      <w:rFonts w:asciiTheme="minorHAnsi" w:hAnsiTheme="minorHAnsi" w:cstheme="minorBidi"/>
      <w:sz w:val="22"/>
      <w:szCs w:val="22"/>
    </w:rPr>
  </w:style>
  <w:style w:type="character" w:customStyle="1" w:styleId="11">
    <w:name w:val="页眉 Char"/>
    <w:basedOn w:val="6"/>
    <w:link w:val="4"/>
    <w:qFormat/>
    <w:uiPriority w:val="99"/>
    <w:rPr>
      <w:rFonts w:eastAsia="Arial"/>
      <w:snapToGrid w:val="0"/>
      <w:color w:val="000000"/>
      <w:sz w:val="18"/>
      <w:szCs w:val="21"/>
    </w:rPr>
  </w:style>
  <w:style w:type="character" w:customStyle="1" w:styleId="12">
    <w:name w:val="页脚 Char"/>
    <w:basedOn w:val="6"/>
    <w:link w:val="3"/>
    <w:qFormat/>
    <w:uiPriority w:val="99"/>
    <w:rPr>
      <w:rFonts w:eastAsia="Arial"/>
      <w:snapToGrid w:val="0"/>
      <w:color w:val="00000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07" textRotate="1"/>
    <customShpInfo spid="_x0000_s4108" textRotate="1"/>
    <customShpInfo spid="_x0000_s4109" textRotate="1"/>
    <customShpInfo spid="_x0000_s4110" textRotate="1"/>
    <customShpInfo spid="_x0000_s4111" textRotate="1"/>
    <customShpInfo spid="_x0000_s411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2646</Words>
  <Characters>2934</Characters>
  <Lines>27</Lines>
  <Paragraphs>7</Paragraphs>
  <TotalTime>4</TotalTime>
  <ScaleCrop>false</ScaleCrop>
  <LinksUpToDate>false</LinksUpToDate>
  <CharactersWithSpaces>2938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2023-07-05T03:08:00Z</dcterms:created>
  <dc:creator>Administrator</dc:creator>
  <cp:lastModifiedBy>搏美广告（2）</cp:lastModifiedBy>
  <dcterms:modified xsi:type="dcterms:W3CDTF">2023-07-11T10:27:18Z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2023-05-29T09:51:18Z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E51DDA1B6CE4437FA2C85566E56413CD_12</vt:lpwstr>
  </property>
</Properties>
</file>