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  <w:t>2022年伊川县人民文化馆预算说明</w:t>
      </w:r>
    </w:p>
    <w:p>
      <w:pPr>
        <w:spacing w:line="254" w:lineRule="auto"/>
        <w:rPr>
          <w:spacing w:val="0"/>
          <w:position w:val="0"/>
        </w:rPr>
      </w:pPr>
    </w:p>
    <w:p>
      <w:pPr>
        <w:spacing w:line="255" w:lineRule="auto"/>
        <w:rPr>
          <w:spacing w:val="0"/>
          <w:position w:val="0"/>
        </w:rPr>
      </w:pPr>
    </w:p>
    <w:p>
      <w:pPr>
        <w:spacing w:before="114" w:line="637" w:lineRule="exact"/>
        <w:ind w:left="3776"/>
        <w:rPr>
          <w:rFonts w:ascii="黑体" w:hAnsi="黑体" w:eastAsia="黑体" w:cs="黑体"/>
          <w:spacing w:val="0"/>
          <w:position w:val="0"/>
          <w:sz w:val="35"/>
          <w:szCs w:val="35"/>
        </w:rPr>
      </w:pPr>
      <w:r>
        <w:rPr>
          <w:rFonts w:ascii="黑体" w:hAnsi="黑体" w:eastAsia="黑体" w:cs="黑体"/>
          <w:spacing w:val="0"/>
          <w:position w:val="0"/>
          <w:sz w:val="35"/>
          <w:szCs w:val="35"/>
        </w:rPr>
        <w:t>目</w:t>
      </w:r>
      <w:r>
        <w:rPr>
          <w:rFonts w:hint="eastAsia" w:ascii="黑体" w:hAnsi="黑体" w:eastAsia="黑体" w:cs="黑体"/>
          <w:spacing w:val="0"/>
          <w:position w:val="0"/>
          <w:sz w:val="35"/>
          <w:szCs w:val="35"/>
          <w:lang w:val="en-US" w:eastAsia="zh-CN"/>
        </w:rPr>
        <w:t xml:space="preserve"> </w:t>
      </w:r>
      <w:r>
        <w:rPr>
          <w:rFonts w:ascii="黑体" w:hAnsi="黑体" w:eastAsia="黑体" w:cs="黑体"/>
          <w:spacing w:val="0"/>
          <w:position w:val="0"/>
          <w:sz w:val="35"/>
          <w:szCs w:val="35"/>
        </w:rPr>
        <w:t>录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20" w:firstLineChars="100"/>
        <w:jc w:val="both"/>
        <w:textAlignment w:val="baseline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第一部分</w:t>
      </w:r>
      <w:r>
        <w:rPr>
          <w:rFonts w:hint="eastAsia" w:ascii="黑体" w:hAnsi="黑体" w:eastAsia="黑体" w:cs="黑体"/>
          <w:spacing w:val="0"/>
          <w:position w:val="0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>伊川县人民文化馆概况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一、主要职责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二、单位所属预算单位构成情况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20" w:firstLineChars="100"/>
        <w:jc w:val="both"/>
        <w:textAlignment w:val="baseline"/>
        <w:rPr>
          <w:rFonts w:hint="eastAsia" w:ascii="黑体" w:hAnsi="黑体" w:eastAsia="黑体" w:cs="黑体"/>
          <w:spacing w:val="0"/>
          <w:positio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position w:val="0"/>
          <w:sz w:val="32"/>
          <w:szCs w:val="32"/>
        </w:rPr>
        <w:t>第二部分</w:t>
      </w:r>
      <w:r>
        <w:rPr>
          <w:rFonts w:hint="eastAsia" w:ascii="黑体" w:hAnsi="黑体" w:eastAsia="黑体" w:cs="黑体"/>
          <w:spacing w:val="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0"/>
          <w:position w:val="0"/>
          <w:sz w:val="32"/>
          <w:szCs w:val="32"/>
        </w:rPr>
        <w:t>2022年伊川县人民文化馆预算情况说明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20" w:firstLineChars="100"/>
        <w:jc w:val="both"/>
        <w:textAlignment w:val="baseline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position w:val="0"/>
          <w:sz w:val="32"/>
          <w:szCs w:val="32"/>
        </w:rPr>
        <w:t>第三部分</w:t>
      </w:r>
      <w:r>
        <w:rPr>
          <w:rFonts w:hint="eastAsia" w:ascii="黑体" w:hAnsi="黑体" w:eastAsia="黑体" w:cs="黑体"/>
          <w:spacing w:val="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0"/>
          <w:position w:val="0"/>
          <w:sz w:val="32"/>
          <w:szCs w:val="32"/>
        </w:rPr>
        <w:t>名词解释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20" w:firstLineChars="100"/>
        <w:jc w:val="both"/>
        <w:textAlignment w:val="baseline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position w:val="0"/>
          <w:sz w:val="32"/>
          <w:szCs w:val="32"/>
        </w:rPr>
        <w:t>附件：2022年伊川县人民文化馆预算表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一、单位收支预算表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二、单位收入预算表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三、单位支出预算表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四、财政拨款收支预算表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五、一般公共预算支出预算表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六、一般公共预算基本支出预算表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七、支出经济分类汇总表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八、一般公共预算“三公”经费预算表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九、政府性基金预算支出预算表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十、国有资本经营预算支出预表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十一、项目支出预算表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十二、单位预算项目绩效目标表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  <w:sectPr>
          <w:footerReference r:id="rId3" w:type="default"/>
          <w:pgSz w:w="11906" w:h="16839"/>
          <w:pgMar w:top="1984" w:right="1587" w:bottom="1701" w:left="1587" w:header="0" w:footer="844" w:gutter="0"/>
          <w:cols w:space="720" w:num="1"/>
        </w:sectPr>
      </w:pPr>
    </w:p>
    <w:p>
      <w:pPr>
        <w:spacing w:before="114" w:line="227" w:lineRule="auto"/>
        <w:ind w:left="3460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第一部分</w:t>
      </w:r>
    </w:p>
    <w:p>
      <w:pPr>
        <w:spacing w:before="206" w:line="225" w:lineRule="auto"/>
        <w:ind w:left="2572"/>
        <w:rPr>
          <w:rFonts w:ascii="宋体" w:hAnsi="宋体" w:eastAsia="宋体" w:cs="宋体"/>
          <w:b/>
          <w:bCs/>
          <w:spacing w:val="0"/>
          <w:position w:val="0"/>
          <w:sz w:val="32"/>
          <w:szCs w:val="32"/>
        </w:rPr>
      </w:pPr>
      <w:r>
        <w:rPr>
          <w:rFonts w:ascii="宋体" w:hAnsi="宋体" w:eastAsia="宋体" w:cs="宋体"/>
          <w:b/>
          <w:bCs/>
          <w:spacing w:val="0"/>
          <w:position w:val="0"/>
          <w:sz w:val="32"/>
          <w:szCs w:val="32"/>
        </w:rPr>
        <w:t>伊川县人民文化馆概况</w:t>
      </w:r>
    </w:p>
    <w:p>
      <w:pPr>
        <w:spacing w:line="358" w:lineRule="auto"/>
        <w:rPr>
          <w:spacing w:val="0"/>
          <w:position w:val="0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伊川县人民文化馆主要职责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1.组织、指导全市群众文化艺术活动，培训辅导业余文艺骨干。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2.研究群众文化艺术，对民间文化艺术进行收集整理。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3.非物质文化遗产保护的政策咨询、理论研究等，同时也是群众进行文化艺术活动的场所。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spacing w:val="0"/>
          <w:position w:val="0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4.完成上级交办的其他工作。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ascii="黑体" w:hAnsi="黑体" w:eastAsia="黑体" w:cs="黑体"/>
          <w:spacing w:val="0"/>
          <w:position w:val="0"/>
          <w:sz w:val="31"/>
          <w:szCs w:val="31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二、伊川县人民文化馆预算单位构成情况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本预算为伊川县人民文化馆本级预算，无内设科室。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420" w:firstLineChars="200"/>
        <w:jc w:val="both"/>
        <w:textAlignment w:val="baseline"/>
        <w:rPr>
          <w:spacing w:val="0"/>
          <w:position w:val="0"/>
        </w:rPr>
        <w:sectPr>
          <w:footerReference r:id="rId4" w:type="default"/>
          <w:pgSz w:w="11906" w:h="16839"/>
          <w:pgMar w:top="1984" w:right="1587" w:bottom="1701" w:left="1587" w:header="0" w:footer="844" w:gutter="0"/>
          <w:cols w:space="720" w:num="1"/>
        </w:sectPr>
      </w:pPr>
    </w:p>
    <w:p>
      <w:pPr>
        <w:spacing w:before="114" w:line="227" w:lineRule="auto"/>
        <w:ind w:left="3706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第二部分</w:t>
      </w:r>
    </w:p>
    <w:p>
      <w:pPr>
        <w:spacing w:before="206" w:line="225" w:lineRule="auto"/>
        <w:ind w:left="1650"/>
        <w:rPr>
          <w:rFonts w:ascii="宋体" w:hAnsi="宋体" w:eastAsia="宋体" w:cs="宋体"/>
          <w:b/>
          <w:bCs/>
          <w:spacing w:val="0"/>
          <w:position w:val="0"/>
          <w:sz w:val="32"/>
          <w:szCs w:val="32"/>
        </w:rPr>
      </w:pPr>
      <w:r>
        <w:rPr>
          <w:rFonts w:ascii="宋体" w:hAnsi="宋体" w:eastAsia="宋体" w:cs="宋体"/>
          <w:b/>
          <w:bCs/>
          <w:spacing w:val="0"/>
          <w:position w:val="0"/>
          <w:sz w:val="32"/>
          <w:szCs w:val="32"/>
        </w:rPr>
        <w:t>2022年伊川县人民文化馆预算情况说明</w:t>
      </w:r>
    </w:p>
    <w:p>
      <w:pPr>
        <w:spacing w:line="359" w:lineRule="auto"/>
        <w:rPr>
          <w:spacing w:val="0"/>
          <w:position w:val="0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一、收入支出预算总体情况说明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伊川县人民文化馆2022年收入总计109.69万元，支出总计109.69万元，与2021年预算相比，收入增加9.74万元，增长9.74%。主要原因：2022年增加上年结转7.61万元;支出增加9.74万元，增长9.74%。主要原因：2022年增加上年结转7.61万元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二、收入预算总体情况说明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伊川县人民文化馆2022年收入合计109.69万元，其中：一般公共预算102.08万元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事业收入0万元；财政性结转资金7.61万元。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三、支出预算总体情况说明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伊川县人民文化馆2022年支出合计109.69万元，其中：基本支出93.88万元，占85.59%；项目支出15.81万元，占14.41%。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四、财政拨款收入支出预算总体情况说明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伊川县人民文化馆2022年一般公共预算收支预算102.08万元，政府性基金收支预算0万元。与2021年相比，一般公共预算收支预算增加2.13万元，增长2.13%，主要原因：基本支出人员保障类增加;</w:t>
      </w:r>
      <w:r>
        <w:rPr>
          <w:rFonts w:ascii="Times New Roman" w:hAnsi="Times New Roman" w:eastAsia="Times New Roman" w:cs="Times New Roman"/>
          <w:spacing w:val="0"/>
          <w:position w:val="0"/>
          <w:sz w:val="31"/>
          <w:szCs w:val="31"/>
        </w:rPr>
        <w:t>2021</w:t>
      </w:r>
      <w:r>
        <w:rPr>
          <w:rFonts w:ascii="仿宋" w:hAnsi="仿宋" w:eastAsia="仿宋" w:cs="仿宋"/>
          <w:spacing w:val="0"/>
          <w:position w:val="0"/>
          <w:sz w:val="31"/>
          <w:szCs w:val="31"/>
        </w:rPr>
        <w:t>年政府性基金收支预算</w:t>
      </w:r>
      <w:r>
        <w:rPr>
          <w:rFonts w:ascii="Times New Roman" w:hAnsi="Times New Roman" w:eastAsia="Times New Roman" w:cs="Times New Roman"/>
          <w:spacing w:val="0"/>
          <w:position w:val="0"/>
          <w:sz w:val="31"/>
          <w:szCs w:val="31"/>
        </w:rPr>
        <w:t>0</w:t>
      </w:r>
      <w:r>
        <w:rPr>
          <w:rFonts w:ascii="仿宋" w:hAnsi="仿宋" w:eastAsia="仿宋" w:cs="仿宋"/>
          <w:spacing w:val="0"/>
          <w:position w:val="0"/>
          <w:sz w:val="31"/>
          <w:szCs w:val="31"/>
        </w:rPr>
        <w:t>万元，无增长下降。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70"/>
        </w:tabs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一般公共预算支出预算情况说</w:t>
      </w:r>
      <w:r>
        <w:rPr>
          <w:rFonts w:hint="eastAsia" w:ascii="黑体" w:hAnsi="黑体" w:eastAsia="黑体" w:cs="黑体"/>
          <w:spacing w:val="0"/>
          <w:position w:val="0"/>
          <w:sz w:val="32"/>
          <w:szCs w:val="32"/>
        </w:rPr>
        <w:t>明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伊川县人民文化馆2022年一般公共预算支出年初预算为102.08万元。其中：基本支出93.88万元，占91.97%；项目支出8.2万元，占8.03%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六、一般公共预算基本支出预算情况说明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伊川县人民文化馆2022年一般公共预算基本支出年初预算为93.88万元。其中：人员经费支出87.11万元，占92.79%；公用经费支出6.77万元，占7.21%。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position w:val="0"/>
          <w:sz w:val="32"/>
          <w:szCs w:val="32"/>
        </w:rPr>
        <w:t>七、一般公共预算“三公”经费支出预算情况说明</w:t>
      </w:r>
    </w:p>
    <w:p>
      <w:pPr>
        <w:pStyle w:val="14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伊川县人民文化馆2022年“三公”经费支出预算为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1.79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万元。2022年“三公”经费支出预算数比2021年增加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0.59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万元，增加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49.17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%。主要原因：送文化下乡服务演出次数增加。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0" w:right="0" w:firstLine="643" w:firstLineChars="200"/>
        <w:jc w:val="both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因公出国(境)费0万元，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主要用于单位工作人员公务出国(境)的住宿费、旅费、伙食补助费、杂费、培训费等支出。预算数与2021年保持一致无增减。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0" w:right="0" w:firstLine="643" w:firstLineChars="200"/>
        <w:jc w:val="both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公务接待费0万元，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主要用于按规定开支的各类公务接待(含外宾接待)支出，预算数与2021年保持一致无增减。</w:t>
      </w:r>
    </w:p>
    <w:p>
      <w:pPr>
        <w:pStyle w:val="14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0" w:right="0" w:firstLine="643" w:firstLineChars="200"/>
        <w:jc w:val="both"/>
        <w:rPr>
          <w:spacing w:val="0"/>
          <w:position w:val="0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position w:val="0"/>
          <w:sz w:val="32"/>
          <w:szCs w:val="32"/>
          <w:lang w:val="en-US" w:eastAsia="zh-CN" w:bidi="ar-SA"/>
        </w:rPr>
        <w:t>三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position w:val="0"/>
          <w:sz w:val="32"/>
          <w:szCs w:val="32"/>
          <w:lang w:val="en-US" w:eastAsia="zh-CN" w:bidi="ar-SA"/>
        </w:rPr>
        <w:t>公务用车购置及运行费1.79万元，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其中：公务用车购置费0万元；公务用车运行维护费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1.79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万元，主要用于开展工作所需公务用车的燃料费、维修费、过路过桥费、保险费、安全奖励费用等支出。</w:t>
      </w:r>
      <w:r>
        <w:rPr>
          <w:rFonts w:ascii="仿宋" w:hAnsi="仿宋" w:eastAsia="仿宋" w:cs="Times New Roman"/>
          <w:spacing w:val="0"/>
          <w:position w:val="0"/>
          <w:sz w:val="32"/>
          <w:szCs w:val="32"/>
        </w:rPr>
        <w:t>公务用车购置费预算数比2021年</w:t>
      </w:r>
      <w:r>
        <w:rPr>
          <w:rFonts w:hint="eastAsia" w:ascii="仿宋" w:hAnsi="仿宋" w:eastAsia="仿宋" w:cs="Times New Roman"/>
          <w:spacing w:val="0"/>
          <w:position w:val="0"/>
          <w:sz w:val="32"/>
          <w:szCs w:val="32"/>
        </w:rPr>
        <w:t>无</w:t>
      </w:r>
      <w:r>
        <w:rPr>
          <w:rFonts w:ascii="仿宋" w:hAnsi="仿宋" w:eastAsia="仿宋" w:cs="Times New Roman"/>
          <w:spacing w:val="0"/>
          <w:position w:val="0"/>
          <w:sz w:val="32"/>
          <w:szCs w:val="32"/>
        </w:rPr>
        <w:t>增加减少</w:t>
      </w:r>
      <w:r>
        <w:rPr>
          <w:rFonts w:hint="eastAsia" w:ascii="仿宋" w:hAnsi="仿宋" w:eastAsia="仿宋" w:cs="Times New Roman"/>
          <w:spacing w:val="0"/>
          <w:position w:val="0"/>
          <w:sz w:val="32"/>
          <w:szCs w:val="32"/>
        </w:rPr>
        <w:t>；</w:t>
      </w:r>
      <w:r>
        <w:rPr>
          <w:rFonts w:ascii="仿宋" w:hAnsi="仿宋" w:eastAsia="仿宋" w:cs="Times New Roman"/>
          <w:spacing w:val="0"/>
          <w:position w:val="0"/>
          <w:sz w:val="32"/>
          <w:szCs w:val="32"/>
        </w:rPr>
        <w:t>主要原因：</w:t>
      </w:r>
      <w:r>
        <w:rPr>
          <w:rFonts w:hint="eastAsia" w:ascii="仿宋" w:hAnsi="仿宋" w:eastAsia="仿宋" w:cs="Times New Roman"/>
          <w:spacing w:val="0"/>
          <w:position w:val="0"/>
          <w:sz w:val="32"/>
          <w:szCs w:val="32"/>
        </w:rPr>
        <w:t>2021年与2022年无购置公务车</w:t>
      </w:r>
      <w:r>
        <w:rPr>
          <w:rFonts w:ascii="仿宋" w:hAnsi="仿宋" w:eastAsia="仿宋" w:cs="Times New Roman"/>
          <w:spacing w:val="0"/>
          <w:positio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公务用车运行维护费预算数比2021年增加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0.59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万元,增加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49.17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%。主要原因：送文化下乡服务演出次数增加。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spacing w:val="0"/>
          <w:position w:val="0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八、政府性基金支出预算情况说明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伊川县人民文化馆2022年无政府性基金预算拨款安排的支出。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rFonts w:ascii="黑体" w:hAnsi="黑体" w:eastAsia="黑体" w:cs="黑体"/>
          <w:spacing w:val="0"/>
          <w:position w:val="0"/>
          <w:sz w:val="31"/>
          <w:szCs w:val="31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九、国有资本经营预算支出预算情况说明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伊川县人民文化馆2022年无国有资本经营预算拨款安排的支出。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十、其他重要事项情况说明</w:t>
      </w:r>
    </w:p>
    <w:p>
      <w:pPr>
        <w:keepNext w:val="0"/>
        <w:keepLines w:val="0"/>
        <w:pageBreakBefore w:val="0"/>
        <w:widowControl w:val="0"/>
        <w:tabs>
          <w:tab w:val="left" w:pos="256"/>
        </w:tabs>
        <w:wordWrap/>
        <w:overflowPunct/>
        <w:topLinePunct w:val="0"/>
        <w:bidi w:val="0"/>
        <w:spacing w:line="60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行政(事业)单位机构运行经费支出预算情况</w:t>
      </w:r>
    </w:p>
    <w:p>
      <w:pPr>
        <w:pStyle w:val="14"/>
        <w:keepNext w:val="0"/>
        <w:keepLines w:val="0"/>
        <w:pageBreakBefore w:val="0"/>
        <w:widowControl w:val="0"/>
        <w:wordWrap/>
        <w:overflowPunct/>
        <w:topLinePunct w:val="0"/>
        <w:bidi w:val="0"/>
        <w:snapToGrid w:val="0"/>
        <w:spacing w:line="600" w:lineRule="exact"/>
        <w:ind w:left="0" w:right="0" w:firstLine="640" w:firstLineChars="200"/>
        <w:jc w:val="both"/>
        <w:rPr>
          <w:rFonts w:ascii="仿宋" w:hAnsi="仿宋" w:eastAsia="仿宋" w:cs="仿宋_GB2312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_GB2312"/>
          <w:spacing w:val="0"/>
          <w:position w:val="0"/>
          <w:sz w:val="32"/>
          <w:szCs w:val="32"/>
        </w:rPr>
        <w:t>伊川县人民文化馆</w:t>
      </w:r>
      <w:r>
        <w:rPr>
          <w:rFonts w:ascii="仿宋" w:hAnsi="仿宋" w:eastAsia="仿宋" w:cs="Times New Roman"/>
          <w:spacing w:val="0"/>
          <w:position w:val="0"/>
          <w:sz w:val="32"/>
          <w:szCs w:val="32"/>
        </w:rPr>
        <w:t>2022年机构运行经费支出预算</w:t>
      </w:r>
      <w:r>
        <w:rPr>
          <w:rFonts w:hint="eastAsia" w:ascii="仿宋" w:hAnsi="仿宋" w:eastAsia="仿宋" w:cs="仿宋_GB2312"/>
          <w:spacing w:val="0"/>
          <w:position w:val="0"/>
          <w:sz w:val="32"/>
          <w:szCs w:val="32"/>
        </w:rPr>
        <w:t>6.77</w:t>
      </w:r>
      <w:r>
        <w:rPr>
          <w:rFonts w:ascii="仿宋" w:hAnsi="仿宋" w:eastAsia="仿宋" w:cs="Times New Roman"/>
          <w:spacing w:val="0"/>
          <w:position w:val="0"/>
          <w:sz w:val="32"/>
          <w:szCs w:val="32"/>
        </w:rPr>
        <w:t>万元，主要保障机构正常运转及正常履职需要所需支出，包含公用经费、公务交通补贴、工会经费、职工福利费等。</w:t>
      </w:r>
      <w:r>
        <w:rPr>
          <w:rFonts w:hint="eastAsia" w:ascii="仿宋" w:hAnsi="仿宋" w:eastAsia="仿宋" w:cs="仿宋_GB2312"/>
          <w:spacing w:val="0"/>
          <w:position w:val="0"/>
          <w:sz w:val="32"/>
          <w:szCs w:val="32"/>
        </w:rPr>
        <w:t>2022年机构运行经费支出预算数比2021年增加3.49万元,增长106.40%。主要原因：公用经费增加。</w:t>
      </w:r>
    </w:p>
    <w:p>
      <w:pPr>
        <w:keepNext w:val="0"/>
        <w:keepLines w:val="0"/>
        <w:pageBreakBefore w:val="0"/>
        <w:widowControl w:val="0"/>
        <w:tabs>
          <w:tab w:val="left" w:pos="256"/>
        </w:tabs>
        <w:wordWrap/>
        <w:overflowPunct/>
        <w:topLinePunct w:val="0"/>
        <w:bidi w:val="0"/>
        <w:spacing w:line="60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政府采购支出预算情况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伊川县人民文化馆2022年政府采购预算安排3万元，其中：政府采购货物预算3万元、政府采购工程预算0万元、政府采购服务预算0万元。</w:t>
      </w:r>
    </w:p>
    <w:p>
      <w:pPr>
        <w:keepNext w:val="0"/>
        <w:keepLines w:val="0"/>
        <w:pageBreakBefore w:val="0"/>
        <w:widowControl w:val="0"/>
        <w:tabs>
          <w:tab w:val="left" w:pos="256"/>
        </w:tabs>
        <w:wordWrap/>
        <w:overflowPunct/>
        <w:topLinePunct w:val="0"/>
        <w:bidi w:val="0"/>
        <w:spacing w:line="60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绩效目标设置情况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伊川县人民文化馆2022年预算项目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keepNext w:val="0"/>
        <w:keepLines w:val="0"/>
        <w:pageBreakBefore w:val="0"/>
        <w:widowControl w:val="0"/>
        <w:tabs>
          <w:tab w:val="left" w:pos="256"/>
        </w:tabs>
        <w:wordWrap/>
        <w:overflowPunct/>
        <w:topLinePunct w:val="0"/>
        <w:bidi w:val="0"/>
        <w:spacing w:line="60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国有资产占用情况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2021年期末，伊川县人民文化馆共有车辆2辆，其中:一般公务用车0辆、一般执法执勤用车0辆、特种专业技术用车0辆、其他用车2辆，其他用车主要是业务用车1辆，流动服务车1辆，单位价值50万元以上通用设备0套，单位价值100万元以上专用设备0套。</w:t>
      </w:r>
    </w:p>
    <w:p>
      <w:pPr>
        <w:keepNext w:val="0"/>
        <w:keepLines w:val="0"/>
        <w:pageBreakBefore w:val="0"/>
        <w:widowControl w:val="0"/>
        <w:tabs>
          <w:tab w:val="left" w:pos="256"/>
        </w:tabs>
        <w:wordWrap/>
        <w:overflowPunct/>
        <w:topLinePunct w:val="0"/>
        <w:bidi w:val="0"/>
        <w:spacing w:line="60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pacing w:val="0"/>
          <w:position w:val="0"/>
          <w:sz w:val="32"/>
          <w:szCs w:val="32"/>
        </w:rPr>
        <w:t>专项转移支付项目情况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  <w:sectPr>
          <w:footerReference r:id="rId5" w:type="default"/>
          <w:pgSz w:w="11906" w:h="16839"/>
          <w:pgMar w:top="1984" w:right="1587" w:bottom="1701" w:left="1587" w:header="0" w:footer="844" w:gutter="0"/>
          <w:cols w:space="720" w:num="1"/>
        </w:sect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伊川县人民文化馆2022年无负责管理的专项转移支付项目。</w:t>
      </w:r>
    </w:p>
    <w:p>
      <w:pPr>
        <w:spacing w:before="113" w:line="227" w:lineRule="auto"/>
        <w:ind w:left="3707"/>
        <w:rPr>
          <w:rFonts w:ascii="黑体" w:hAnsi="黑体" w:eastAsia="黑体" w:cs="黑体"/>
          <w:spacing w:val="0"/>
          <w:position w:val="0"/>
          <w:sz w:val="36"/>
          <w:szCs w:val="36"/>
        </w:rPr>
      </w:pPr>
      <w:r>
        <w:rPr>
          <w:rFonts w:ascii="黑体" w:hAnsi="黑体" w:eastAsia="黑体" w:cs="黑体"/>
          <w:spacing w:val="0"/>
          <w:position w:val="0"/>
          <w:sz w:val="36"/>
          <w:szCs w:val="36"/>
        </w:rPr>
        <w:t>第三部分</w:t>
      </w:r>
    </w:p>
    <w:p>
      <w:pPr>
        <w:spacing w:before="206" w:line="225" w:lineRule="auto"/>
        <w:ind w:left="3786"/>
        <w:rPr>
          <w:rFonts w:ascii="宋体" w:hAnsi="宋体" w:eastAsia="宋体" w:cs="宋体"/>
          <w:b/>
          <w:bCs/>
          <w:spacing w:val="0"/>
          <w:position w:val="0"/>
          <w:sz w:val="32"/>
          <w:szCs w:val="32"/>
        </w:rPr>
      </w:pPr>
      <w:r>
        <w:rPr>
          <w:rFonts w:ascii="宋体" w:hAnsi="宋体" w:eastAsia="宋体" w:cs="宋体"/>
          <w:b/>
          <w:bCs/>
          <w:spacing w:val="0"/>
          <w:position w:val="0"/>
          <w:sz w:val="32"/>
          <w:szCs w:val="32"/>
        </w:rPr>
        <w:t>名词</w:t>
      </w:r>
      <w:r>
        <w:rPr>
          <w:rFonts w:hint="eastAsia" w:ascii="宋体" w:hAnsi="宋体" w:eastAsia="宋体" w:cs="宋体"/>
          <w:b/>
          <w:bCs/>
          <w:spacing w:val="0"/>
          <w:position w:val="0"/>
          <w:sz w:val="32"/>
          <w:szCs w:val="32"/>
        </w:rPr>
        <w:t>解释</w:t>
      </w:r>
    </w:p>
    <w:p>
      <w:pPr>
        <w:spacing w:before="206" w:line="225" w:lineRule="auto"/>
        <w:ind w:left="3786"/>
        <w:rPr>
          <w:rFonts w:ascii="宋体" w:hAnsi="宋体" w:eastAsia="宋体" w:cs="宋体"/>
          <w:spacing w:val="0"/>
          <w:position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一、财政拨款收入：是指同级财政拨付的资金：包括一般公共预算拨款、政府性基金预算拨款、国有资本经营预算拨款。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3"/>
        <w:jc w:val="both"/>
        <w:textAlignment w:val="baseline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二、事业收入：是指事业单位开展专业活动及辅助活动所取得的收入。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38"/>
        <w:jc w:val="both"/>
        <w:textAlignment w:val="baseline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三、其他收入：是指单位取得的除“财政拨款”、“事业收入”、“事业单位经营收入”等以外的收入。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1"/>
        <w:jc w:val="both"/>
        <w:textAlignment w:val="baseline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0"/>
        <w:jc w:val="both"/>
        <w:textAlignment w:val="baseline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8"/>
        <w:jc w:val="both"/>
        <w:textAlignment w:val="baseline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七、“三公”经费：是指纳入同级财政预算管理，单位使用财政拨款安排的因公出国(境)费、公务用车购置及运行费和公务接待费。其中，因公出国(境)费反映单位公务出国(境)的住宿费、差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(含外宾接待)支出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5"/>
        <w:jc w:val="both"/>
        <w:textAlignment w:val="baseline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八、行政(事业)单位机构运行经费：是指为保障行政单位(包括行政单位和事业单位)运行用于购买货物和服务的各项资金，包括办公及印刷费、邮电费、差旅费、会议费、福利费、日常维修费及一般设备购置费、办公用房水电费、办公用房取暖费、办公用房物业管理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、公务用车运行维护费以及其他费用。</w:t>
      </w:r>
    </w:p>
    <w:p>
      <w:pPr>
        <w:widowControl w:val="0"/>
        <w:overflowPunct w:val="0"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b/>
          <w:bCs/>
          <w:color w:val="auto"/>
          <w:spacing w:val="0"/>
          <w:position w:val="0"/>
          <w:sz w:val="32"/>
          <w:szCs w:val="32"/>
        </w:rPr>
      </w:pPr>
    </w:p>
    <w:p>
      <w:pPr>
        <w:widowControl w:val="0"/>
        <w:overflowPunct w:val="0"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黑体" w:cs="Times New Roman"/>
          <w:color w:val="auto"/>
          <w:spacing w:val="0"/>
          <w:positio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pacing w:val="0"/>
          <w:position w:val="0"/>
          <w:sz w:val="32"/>
          <w:szCs w:val="32"/>
        </w:rPr>
        <w:t>附件：2022年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position w:val="0"/>
          <w:sz w:val="32"/>
          <w:szCs w:val="32"/>
        </w:rPr>
        <w:t>伊川县人民文化馆预算</w:t>
      </w:r>
      <w:r>
        <w:rPr>
          <w:rFonts w:ascii="Times New Roman" w:hAnsi="Times New Roman" w:eastAsia="仿宋_GB2312" w:cs="Times New Roman"/>
          <w:b/>
          <w:bCs/>
          <w:color w:val="auto"/>
          <w:spacing w:val="0"/>
          <w:position w:val="0"/>
          <w:sz w:val="32"/>
          <w:szCs w:val="32"/>
        </w:rPr>
        <w:t>表</w:t>
      </w:r>
    </w:p>
    <w:p>
      <w:pPr>
        <w:spacing w:before="231" w:line="362" w:lineRule="auto"/>
        <w:ind w:firstLine="655"/>
        <w:rPr>
          <w:rFonts w:ascii="仿宋_GB2312" w:hAnsi="仿宋_GB2312" w:eastAsia="仿宋_GB2312" w:cs="仿宋_GB2312"/>
          <w:spacing w:val="0"/>
          <w:position w:val="0"/>
          <w:sz w:val="32"/>
          <w:szCs w:val="32"/>
        </w:rPr>
        <w:sectPr>
          <w:footerReference r:id="rId6" w:type="default"/>
          <w:pgSz w:w="11906" w:h="16839"/>
          <w:pgMar w:top="1984" w:right="1587" w:bottom="1701" w:left="1587" w:header="0" w:footer="846" w:gutter="0"/>
          <w:cols w:space="720" w:num="1"/>
        </w:sectPr>
      </w:pPr>
    </w:p>
    <w:p>
      <w:pPr>
        <w:spacing w:before="101" w:line="222" w:lineRule="auto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drawing>
          <wp:inline distT="0" distB="0" distL="114300" distR="114300">
            <wp:extent cx="9969500" cy="6243955"/>
            <wp:effectExtent l="0" t="0" r="12700" b="444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69500" cy="624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1" w:line="222" w:lineRule="auto"/>
        <w:rPr>
          <w:rFonts w:ascii="仿宋" w:hAnsi="仿宋" w:eastAsia="仿宋" w:cs="仿宋"/>
          <w:spacing w:val="0"/>
          <w:position w:val="0"/>
          <w:sz w:val="31"/>
          <w:szCs w:val="31"/>
        </w:rPr>
      </w:pPr>
    </w:p>
    <w:p>
      <w:pPr>
        <w:spacing w:before="101" w:line="222" w:lineRule="auto"/>
        <w:sectPr>
          <w:footerReference r:id="rId7" w:type="default"/>
          <w:pgSz w:w="16839" w:h="11906" w:orient="landscape"/>
          <w:pgMar w:top="680" w:right="567" w:bottom="1530" w:left="567" w:header="0" w:footer="846" w:gutter="0"/>
          <w:cols w:space="720" w:num="1"/>
        </w:sectPr>
      </w:pPr>
      <w:r>
        <w:drawing>
          <wp:inline distT="0" distB="0" distL="114300" distR="114300">
            <wp:extent cx="9960610" cy="1042035"/>
            <wp:effectExtent l="0" t="0" r="2540" b="571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6061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1" w:line="222" w:lineRule="auto"/>
        <w:sectPr>
          <w:pgSz w:w="16839" w:h="11906" w:orient="landscape"/>
          <w:pgMar w:top="680" w:right="567" w:bottom="1530" w:left="567" w:header="0" w:footer="846" w:gutter="0"/>
          <w:cols w:space="720" w:num="1"/>
        </w:sectPr>
      </w:pPr>
      <w:r>
        <w:drawing>
          <wp:inline distT="0" distB="0" distL="114300" distR="114300">
            <wp:extent cx="9970770" cy="3158490"/>
            <wp:effectExtent l="0" t="0" r="11430" b="381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70770" cy="315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1" w:line="222" w:lineRule="auto"/>
        <w:sectPr>
          <w:pgSz w:w="16839" w:h="11906" w:orient="landscape"/>
          <w:pgMar w:top="680" w:right="567" w:bottom="1530" w:left="567" w:header="0" w:footer="846" w:gutter="0"/>
          <w:cols w:space="720" w:num="1"/>
        </w:sectPr>
      </w:pPr>
      <w:r>
        <w:drawing>
          <wp:inline distT="0" distB="0" distL="114300" distR="114300">
            <wp:extent cx="9966325" cy="6198870"/>
            <wp:effectExtent l="0" t="0" r="15875" b="1143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66325" cy="619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1" w:line="222" w:lineRule="auto"/>
        <w:sectPr>
          <w:pgSz w:w="16839" w:h="11906" w:orient="landscape"/>
          <w:pgMar w:top="680" w:right="567" w:bottom="1530" w:left="567" w:header="0" w:footer="846" w:gutter="0"/>
          <w:cols w:space="720" w:num="1"/>
        </w:sectPr>
      </w:pPr>
      <w:r>
        <w:drawing>
          <wp:inline distT="0" distB="0" distL="114300" distR="114300">
            <wp:extent cx="9970770" cy="3768090"/>
            <wp:effectExtent l="0" t="0" r="11430" b="381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970770" cy="376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1" w:line="222" w:lineRule="auto"/>
        <w:jc w:val="center"/>
        <w:sectPr>
          <w:pgSz w:w="16839" w:h="11906" w:orient="landscape"/>
          <w:pgMar w:top="680" w:right="567" w:bottom="1530" w:left="567" w:header="0" w:footer="846" w:gutter="0"/>
          <w:cols w:space="720" w:num="1"/>
        </w:sectPr>
      </w:pPr>
      <w:r>
        <w:drawing>
          <wp:inline distT="0" distB="0" distL="114300" distR="114300">
            <wp:extent cx="9258300" cy="3724275"/>
            <wp:effectExtent l="0" t="0" r="0" b="952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583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1" w:line="222" w:lineRule="auto"/>
      </w:pPr>
    </w:p>
    <w:p>
      <w:pPr>
        <w:spacing w:before="101" w:line="222" w:lineRule="auto"/>
        <w:sectPr>
          <w:pgSz w:w="16839" w:h="11906" w:orient="landscape"/>
          <w:pgMar w:top="680" w:right="567" w:bottom="1530" w:left="567" w:header="0" w:footer="846" w:gutter="0"/>
          <w:cols w:space="720" w:num="1"/>
        </w:sectPr>
      </w:pPr>
      <w:r>
        <w:drawing>
          <wp:inline distT="0" distB="0" distL="114300" distR="114300">
            <wp:extent cx="9971405" cy="2960370"/>
            <wp:effectExtent l="0" t="0" r="10795" b="1143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971405" cy="2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1" w:line="222" w:lineRule="auto"/>
        <w:jc w:val="center"/>
        <w:sectPr>
          <w:pgSz w:w="16839" w:h="11906" w:orient="landscape"/>
          <w:pgMar w:top="680" w:right="567" w:bottom="1530" w:left="567" w:header="0" w:footer="846" w:gutter="0"/>
          <w:cols w:space="720" w:num="1"/>
        </w:sectPr>
      </w:pPr>
      <w:r>
        <w:drawing>
          <wp:inline distT="0" distB="0" distL="114300" distR="114300">
            <wp:extent cx="8924925" cy="2181225"/>
            <wp:effectExtent l="0" t="0" r="9525" b="9525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9249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1" w:line="222" w:lineRule="auto"/>
        <w:sectPr>
          <w:pgSz w:w="16839" w:h="11906" w:orient="landscape"/>
          <w:pgMar w:top="680" w:right="567" w:bottom="1530" w:left="567" w:header="0" w:footer="846" w:gutter="0"/>
          <w:cols w:space="720" w:num="1"/>
        </w:sectPr>
      </w:pPr>
      <w:r>
        <w:drawing>
          <wp:inline distT="0" distB="0" distL="114300" distR="114300">
            <wp:extent cx="9965690" cy="2253615"/>
            <wp:effectExtent l="0" t="0" r="16510" b="13335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96569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1" w:line="222" w:lineRule="auto"/>
        <w:sectPr>
          <w:pgSz w:w="16839" w:h="11906" w:orient="landscape"/>
          <w:pgMar w:top="680" w:right="567" w:bottom="1530" w:left="567" w:header="0" w:footer="846" w:gutter="0"/>
          <w:cols w:space="720" w:num="1"/>
        </w:sectPr>
      </w:pPr>
      <w:r>
        <w:drawing>
          <wp:inline distT="0" distB="0" distL="114300" distR="114300">
            <wp:extent cx="9965690" cy="2113915"/>
            <wp:effectExtent l="0" t="0" r="16510" b="635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965690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1" w:line="222" w:lineRule="auto"/>
        <w:sectPr>
          <w:pgSz w:w="16839" w:h="11906" w:orient="landscape"/>
          <w:pgMar w:top="680" w:right="567" w:bottom="1530" w:left="567" w:header="0" w:footer="846" w:gutter="0"/>
          <w:cols w:space="720" w:num="1"/>
        </w:sectPr>
      </w:pPr>
      <w:r>
        <w:drawing>
          <wp:inline distT="0" distB="0" distL="114300" distR="114300">
            <wp:extent cx="9963150" cy="2379345"/>
            <wp:effectExtent l="0" t="0" r="0" b="1905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963150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1" w:line="222" w:lineRule="auto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drawing>
          <wp:inline distT="0" distB="0" distL="114300" distR="114300">
            <wp:extent cx="9958070" cy="3122295"/>
            <wp:effectExtent l="0" t="0" r="5080" b="1905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958070" cy="312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9" w:h="11906" w:orient="landscape"/>
      <w:pgMar w:top="680" w:right="567" w:bottom="1530" w:left="567" w:header="0" w:footer="84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3826"/>
      <w:rPr>
        <w:rFonts w:ascii="宋体" w:hAnsi="宋体" w:eastAsia="宋体" w:cs="宋体"/>
        <w:sz w:val="28"/>
        <w:szCs w:val="28"/>
      </w:rPr>
    </w:pPr>
    <w:r>
      <w:rPr>
        <w:sz w:val="28"/>
      </w:rP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VMiuIU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NUyK4hQCAAAV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t>—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826"/>
      <w:rPr>
        <w:rFonts w:ascii="宋体" w:hAnsi="宋体" w:eastAsia="宋体" w:cs="宋体"/>
        <w:sz w:val="28"/>
        <w:szCs w:val="28"/>
      </w:rPr>
    </w:pPr>
    <w:r>
      <w:rPr>
        <w:sz w:val="28"/>
      </w:rPr>
      <w:pict>
        <v:shape id="_x0000_s1030" o:spid="_x0000_s103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fkHQ0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q7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fkHQ0VAgAAFQQAAA4AAAAAAAAA&#10;AQAgAAAAHwEAAGRycy9lMm9Eb2MueG1sUEsFBgAAAAAGAAYAWQEAAKY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t>—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71"/>
      <w:rPr>
        <w:rFonts w:ascii="宋体" w:hAnsi="宋体" w:eastAsia="宋体" w:cs="宋体"/>
        <w:sz w:val="28"/>
        <w:szCs w:val="28"/>
      </w:rPr>
    </w:pPr>
    <w:r>
      <w:rPr>
        <w:sz w:val="28"/>
      </w:rPr>
      <w:pict>
        <v:shape id="_x0000_s1029" o:spid="_x0000_s1029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gf/wEV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t1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Dgf/wEVAgAAFQQAAA4AAAAAAAAA&#10;AQAgAAAAHwEAAGRycy9lMm9Eb2MueG1sUEsFBgAAAAAGAAYAWQEAAKY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t>—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>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4069"/>
      <w:rPr>
        <w:rFonts w:ascii="宋体" w:hAnsi="宋体" w:eastAsia="宋体" w:cs="宋体"/>
        <w:sz w:val="28"/>
        <w:szCs w:val="28"/>
      </w:rPr>
    </w:pPr>
    <w:r>
      <w:rPr>
        <w:sz w:val="28"/>
      </w:rP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1JoQUV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l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1JoQUVAgAAFQQAAA4AAAAAAAAA&#10;AQAgAAAAHwEAAGRycy9lMm9Eb2MueG1sUEsFBgAAAAAGAAYAWQEAAKY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t>—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t>—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4077"/>
      <w:rPr>
        <w:rFonts w:ascii="宋体" w:hAnsi="宋体" w:eastAsia="宋体" w:cs="宋体"/>
        <w:sz w:val="28"/>
        <w:szCs w:val="28"/>
      </w:rPr>
    </w:pPr>
    <w:r>
      <w:rPr>
        <w:sz w:val="28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bpOhgVAgAAFQ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l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bpOhgVAgAAFQQAAA4AAAAAAAAA&#10;AQAgAAAAHwEAAGRycy9lMm9Eb2MueG1sUEsFBgAAAAAGAAYAWQEAAKY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t>—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  <w: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7DE0F1"/>
    <w:multiLevelType w:val="singleLevel"/>
    <w:tmpl w:val="F17DE0F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325435"/>
    <w:multiLevelType w:val="singleLevel"/>
    <w:tmpl w:val="633254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VkYWI4ODgyZDQyMzFhMmMwNDdiNzJhZDE5M2IxYTcifQ=="/>
  </w:docVars>
  <w:rsids>
    <w:rsidRoot w:val="00A04D45"/>
    <w:rsid w:val="000C2D72"/>
    <w:rsid w:val="000D5F35"/>
    <w:rsid w:val="001C7629"/>
    <w:rsid w:val="0027095B"/>
    <w:rsid w:val="00270D54"/>
    <w:rsid w:val="002E3730"/>
    <w:rsid w:val="00442EA0"/>
    <w:rsid w:val="004C35BF"/>
    <w:rsid w:val="004D2EBB"/>
    <w:rsid w:val="005F5642"/>
    <w:rsid w:val="00635DE7"/>
    <w:rsid w:val="006D518F"/>
    <w:rsid w:val="006D7ECB"/>
    <w:rsid w:val="006E28CF"/>
    <w:rsid w:val="00A04D45"/>
    <w:rsid w:val="00BF22BF"/>
    <w:rsid w:val="00C019CA"/>
    <w:rsid w:val="00E652EF"/>
    <w:rsid w:val="00E71236"/>
    <w:rsid w:val="00EA353E"/>
    <w:rsid w:val="00F26038"/>
    <w:rsid w:val="00F82FDB"/>
    <w:rsid w:val="00FF1FE6"/>
    <w:rsid w:val="01FF3BC3"/>
    <w:rsid w:val="04465032"/>
    <w:rsid w:val="048E7EFC"/>
    <w:rsid w:val="0BEE4C7F"/>
    <w:rsid w:val="15D171CD"/>
    <w:rsid w:val="17D015A0"/>
    <w:rsid w:val="1FBA775C"/>
    <w:rsid w:val="33C36586"/>
    <w:rsid w:val="34E1557B"/>
    <w:rsid w:val="360C5DE3"/>
    <w:rsid w:val="39092670"/>
    <w:rsid w:val="3A3B371D"/>
    <w:rsid w:val="3EF43A3A"/>
    <w:rsid w:val="42A67BE8"/>
    <w:rsid w:val="49BE6A07"/>
    <w:rsid w:val="4AB935B4"/>
    <w:rsid w:val="4DAD7ABC"/>
    <w:rsid w:val="4F55755C"/>
    <w:rsid w:val="50144323"/>
    <w:rsid w:val="62634DB6"/>
    <w:rsid w:val="62F8268E"/>
    <w:rsid w:val="63C471FD"/>
    <w:rsid w:val="64906E15"/>
    <w:rsid w:val="649B1E22"/>
    <w:rsid w:val="67E50DF6"/>
    <w:rsid w:val="70B2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批注框文本 Char"/>
    <w:basedOn w:val="8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paragraph" w:customStyle="1" w:styleId="12">
    <w:name w:val="样式1"/>
    <w:basedOn w:val="1"/>
    <w:qFormat/>
    <w:uiPriority w:val="0"/>
    <w:pPr>
      <w:spacing w:before="101" w:line="222" w:lineRule="auto"/>
    </w:pPr>
    <w:rPr>
      <w:rFonts w:hint="eastAsia" w:ascii="仿宋" w:hAnsi="仿宋" w:eastAsia="仿宋" w:cs="仿宋"/>
      <w:b/>
      <w:sz w:val="31"/>
      <w:szCs w:val="31"/>
    </w:rPr>
  </w:style>
  <w:style w:type="paragraph" w:customStyle="1" w:styleId="13">
    <w:name w:val="样式2"/>
    <w:basedOn w:val="1"/>
    <w:qFormat/>
    <w:uiPriority w:val="0"/>
    <w:pPr>
      <w:spacing w:before="101" w:line="222" w:lineRule="auto"/>
    </w:pPr>
    <w:rPr>
      <w:rFonts w:hint="eastAsia" w:ascii="仿宋" w:hAnsi="仿宋" w:eastAsia="宋体" w:cs="仿宋"/>
      <w:sz w:val="31"/>
      <w:szCs w:val="31"/>
    </w:rPr>
  </w:style>
  <w:style w:type="paragraph" w:customStyle="1" w:styleId="14">
    <w:name w:val="p0"/>
    <w:basedOn w:val="1"/>
    <w:uiPriority w:val="0"/>
    <w:pPr>
      <w:kinsoku/>
      <w:autoSpaceDE/>
      <w:autoSpaceDN/>
      <w:adjustRightInd/>
      <w:snapToGrid/>
      <w:jc w:val="both"/>
      <w:textAlignment w:val="auto"/>
    </w:pPr>
    <w:rPr>
      <w:rFonts w:ascii="Calibri" w:hAnsi="Calibri" w:eastAsia="宋体" w:cs="宋体"/>
      <w:snapToGrid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2597</Words>
  <Characters>2862</Characters>
  <Lines>22</Lines>
  <Paragraphs>6</Paragraphs>
  <TotalTime>1</TotalTime>
  <ScaleCrop>false</ScaleCrop>
  <LinksUpToDate>false</LinksUpToDate>
  <CharactersWithSpaces>2866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2023-07-10T08:51:00Z</dcterms:created>
  <dc:creator>Data</dc:creator>
  <cp:lastModifiedBy>搏美广告（2）</cp:lastModifiedBy>
  <dcterms:modified xsi:type="dcterms:W3CDTF">2023-07-12T00:52:09Z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2023-05-05T15:29:04Z</vt:filetime>
  </property>
  <property fmtid="{D5CDD505-2E9C-101B-9397-08002B2CF9AE}" pid="4" name="UsrData">
    <vt:lpwstr>6454b0334e2c48b522f0e5cd</vt:lpwstr>
  </property>
  <property fmtid="{D5CDD505-2E9C-101B-9397-08002B2CF9AE}" pid="5" name="KSOProductBuildVer">
    <vt:lpwstr>2052-11.1.0.14309</vt:lpwstr>
  </property>
  <property fmtid="{D5CDD505-2E9C-101B-9397-08002B2CF9AE}" pid="6" name="ICV">
    <vt:lpwstr>91F23E20B80F4EE9851D8E9B4D5A2171_13</vt:lpwstr>
  </property>
</Properties>
</file>