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5" w:lineRule="auto"/>
        <w:ind w:left="387"/>
        <w:rPr>
          <w:rFonts w:ascii="黑体" w:hAnsi="黑体" w:eastAsia="黑体" w:cs="黑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022</w:t>
      </w:r>
      <w:r>
        <w:rPr>
          <w:rFonts w:ascii="黑体" w:hAnsi="黑体" w:eastAsia="黑体" w:cs="黑体"/>
          <w:spacing w:val="8"/>
          <w:sz w:val="43"/>
          <w:szCs w:val="43"/>
        </w:rPr>
        <w:t>年伊川县二程文化园管理处预算说明</w:t>
      </w:r>
    </w:p>
    <w:p>
      <w:pPr>
        <w:spacing w:line="313" w:lineRule="auto"/>
      </w:pPr>
    </w:p>
    <w:p>
      <w:pPr>
        <w:spacing w:line="313" w:lineRule="auto"/>
      </w:pPr>
    </w:p>
    <w:p>
      <w:pPr>
        <w:spacing w:before="114" w:line="227" w:lineRule="auto"/>
        <w:ind w:left="400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0"/>
          <w:sz w:val="35"/>
          <w:szCs w:val="35"/>
        </w:rPr>
        <w:t>目</w:t>
      </w:r>
      <w:r>
        <w:rPr>
          <w:rFonts w:ascii="黑体" w:hAnsi="黑体" w:eastAsia="黑体" w:cs="黑体"/>
          <w:spacing w:val="-9"/>
          <w:sz w:val="35"/>
          <w:szCs w:val="35"/>
        </w:rPr>
        <w:t>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7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第一部分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9"/>
          <w:sz w:val="32"/>
          <w:szCs w:val="32"/>
        </w:rPr>
        <w:t>伊川县二程文化园管理处概</w:t>
      </w:r>
      <w:r>
        <w:rPr>
          <w:rFonts w:ascii="黑体" w:hAnsi="黑体" w:eastAsia="黑体" w:cs="黑体"/>
          <w:spacing w:val="6"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5"/>
          <w:position w:val="3"/>
          <w:sz w:val="32"/>
          <w:szCs w:val="32"/>
        </w:rPr>
        <w:t>、主要职责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92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7"/>
          <w:position w:val="2"/>
          <w:sz w:val="32"/>
          <w:szCs w:val="32"/>
        </w:rPr>
        <w:t>单位所属预算单位构成情况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12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8"/>
          <w:sz w:val="32"/>
          <w:szCs w:val="32"/>
        </w:rPr>
        <w:t>第</w:t>
      </w:r>
      <w:r>
        <w:rPr>
          <w:rFonts w:ascii="黑体" w:hAnsi="黑体" w:eastAsia="黑体" w:cs="黑体"/>
          <w:spacing w:val="11"/>
          <w:sz w:val="32"/>
          <w:szCs w:val="32"/>
        </w:rPr>
        <w:t>二部分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2022</w:t>
      </w:r>
      <w:r>
        <w:rPr>
          <w:rFonts w:ascii="黑体" w:hAnsi="黑体" w:eastAsia="黑体" w:cs="黑体"/>
          <w:spacing w:val="11"/>
          <w:sz w:val="32"/>
          <w:szCs w:val="32"/>
        </w:rPr>
        <w:t>年伊川县二程文化园管理处预算情况</w:t>
      </w:r>
      <w:r>
        <w:rPr>
          <w:rFonts w:ascii="黑体" w:hAnsi="黑体" w:eastAsia="黑体" w:cs="黑体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第三部分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pacing w:val="1"/>
          <w:sz w:val="32"/>
          <w:szCs w:val="32"/>
        </w:rPr>
        <w:t>名</w:t>
      </w:r>
      <w:r>
        <w:rPr>
          <w:rFonts w:ascii="黑体" w:hAnsi="黑体" w:eastAsia="黑体" w:cs="黑体"/>
          <w:sz w:val="32"/>
          <w:szCs w:val="32"/>
        </w:rPr>
        <w:t>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附</w:t>
      </w:r>
      <w:r>
        <w:rPr>
          <w:rFonts w:ascii="黑体" w:hAnsi="黑体" w:eastAsia="黑体" w:cs="黑体"/>
          <w:spacing w:val="8"/>
          <w:sz w:val="32"/>
          <w:szCs w:val="32"/>
        </w:rPr>
        <w:t>件</w:t>
      </w:r>
      <w:r>
        <w:rPr>
          <w:rFonts w:ascii="黑体" w:hAnsi="黑体" w:eastAsia="黑体" w:cs="黑体"/>
          <w:spacing w:val="7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2022</w:t>
      </w:r>
      <w:r>
        <w:rPr>
          <w:rFonts w:ascii="黑体" w:hAnsi="黑体" w:eastAsia="黑体" w:cs="黑体"/>
          <w:spacing w:val="7"/>
          <w:sz w:val="32"/>
          <w:szCs w:val="32"/>
        </w:rPr>
        <w:t>年伊川县二程文化园管理处预算表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一、单位收支预算表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二、单位收入预算表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三、单位支出预算表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九、政府性基金预算支出预算表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十、国有资本经营预算支出预算表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十一、项目支出预算表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t>十二、单位预算项目绩效目标表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1344" w:firstLineChars="4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8"/>
          <w:position w:val="3"/>
          <w:sz w:val="32"/>
          <w:szCs w:val="32"/>
        </w:rPr>
        <w:sectPr>
          <w:footerReference r:id="rId3" w:type="default"/>
          <w:pgSz w:w="11906" w:h="16839"/>
          <w:pgMar w:top="1984" w:right="1531" w:bottom="1417" w:left="1531" w:header="0" w:footer="844" w:gutter="0"/>
          <w:pgNumType w:fmt="numberInDash"/>
          <w:cols w:space="720" w:num="1"/>
        </w:sectPr>
      </w:pPr>
    </w:p>
    <w:p>
      <w:pPr>
        <w:spacing w:before="114" w:line="227" w:lineRule="auto"/>
        <w:ind w:firstLine="3640" w:firstLineChars="10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第</w:t>
      </w:r>
      <w:r>
        <w:rPr>
          <w:rFonts w:ascii="黑体" w:hAnsi="黑体" w:eastAsia="黑体" w:cs="黑体"/>
          <w:spacing w:val="6"/>
          <w:sz w:val="35"/>
          <w:szCs w:val="35"/>
        </w:rPr>
        <w:t>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伊川县二程文化园管理处概况</w:t>
      </w:r>
    </w:p>
    <w:p>
      <w:pPr>
        <w:spacing w:line="358" w:lineRule="auto"/>
      </w:pPr>
    </w:p>
    <w:p>
      <w:pPr>
        <w:spacing w:line="358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position w:val="4"/>
          <w:sz w:val="32"/>
          <w:szCs w:val="32"/>
        </w:rPr>
        <w:t>一、伊川县二程文化园管理处主要职</w:t>
      </w:r>
      <w:r>
        <w:rPr>
          <w:rFonts w:ascii="黑体" w:hAnsi="黑体" w:eastAsia="黑体" w:cs="黑体"/>
          <w:spacing w:val="6"/>
          <w:position w:val="4"/>
          <w:sz w:val="32"/>
          <w:szCs w:val="32"/>
        </w:rPr>
        <w:t>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1.负责国家级文物宝护单位工程文化园文保工作，推动伊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二程理学文化的传承、普及和弘扬。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负责二程理学文化的挖掘、振兴工作。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.完成县委、县政府、文化广电和旅游局交办的其他任务。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二、伊川县二程文化园管理处预算单位构成情况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算伊川县二程文化园管理处预算，无内设其他科室。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9"/>
          <w:pgMar w:top="1984" w:right="1531" w:bottom="1417" w:left="1531" w:header="0" w:footer="844" w:gutter="0"/>
          <w:pgNumType w:fmt="numberInDash" w:start="2"/>
          <w:cols w:space="720" w:num="1"/>
        </w:sectPr>
      </w:pPr>
    </w:p>
    <w:p>
      <w:pPr>
        <w:spacing w:before="114" w:line="227" w:lineRule="auto"/>
        <w:ind w:left="0" w:leftChars="0" w:firstLine="3578" w:firstLineChars="98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第</w:t>
      </w:r>
      <w:r>
        <w:rPr>
          <w:rFonts w:ascii="黑体" w:hAnsi="黑体" w:eastAsia="黑体" w:cs="黑体"/>
          <w:spacing w:val="6"/>
          <w:sz w:val="35"/>
          <w:szCs w:val="35"/>
        </w:rPr>
        <w:t>二部分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2022年伊川县二程文化园管理处预算情况说明</w:t>
      </w:r>
    </w:p>
    <w:p>
      <w:pPr>
        <w:spacing w:line="358" w:lineRule="auto"/>
      </w:pPr>
    </w:p>
    <w:p>
      <w:pPr>
        <w:spacing w:line="358" w:lineRule="auto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position w:val="4"/>
          <w:sz w:val="32"/>
          <w:szCs w:val="32"/>
        </w:rPr>
        <w:t>一</w:t>
      </w:r>
      <w:r>
        <w:rPr>
          <w:rFonts w:ascii="黑体" w:hAnsi="黑体" w:eastAsia="黑体" w:cs="黑体"/>
          <w:spacing w:val="8"/>
          <w:position w:val="4"/>
          <w:sz w:val="32"/>
          <w:szCs w:val="32"/>
        </w:rPr>
        <w:t>、收入支出预算总体情况说明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伊川县二程文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园管理处2022年收入总计278.26万元，支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出总计278.2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万元，与2021年预算相比，收入增加60万元，增长27.49%。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因：2021年结转智慧景区建设50万元奖金补贴和本年新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增研究院经费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10万元。支出增加60万元，增长27.49%。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因：2021年结转智慧景区建设50万元奖金补贴和本年新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增研究院经费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10万元。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96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position w:val="2"/>
          <w:sz w:val="32"/>
          <w:szCs w:val="32"/>
        </w:rPr>
        <w:t>二</w:t>
      </w:r>
      <w:r>
        <w:rPr>
          <w:rFonts w:ascii="黑体" w:hAnsi="黑体" w:eastAsia="黑体" w:cs="黑体"/>
          <w:spacing w:val="8"/>
          <w:position w:val="2"/>
          <w:sz w:val="32"/>
          <w:szCs w:val="32"/>
        </w:rPr>
        <w:t>、收入预算总体情况说明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伊川县二程文化园管理处2022年收入合计278.26万元，其中：一般公共预算228.26万元;事业收入0万元；财政性结转资金50万元。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8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三</w:t>
      </w:r>
      <w:r>
        <w:rPr>
          <w:rFonts w:ascii="黑体" w:hAnsi="黑体" w:eastAsia="黑体" w:cs="黑体"/>
          <w:spacing w:val="8"/>
          <w:sz w:val="32"/>
          <w:szCs w:val="32"/>
        </w:rPr>
        <w:t>、支出预算总体情况说明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伊川县二程文化园管理处2022年支出合计278.26万元，其中：基本支出10万元，占3.59%；项目支出268.26万元，占96.41%。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8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四</w:t>
      </w:r>
      <w:r>
        <w:rPr>
          <w:rFonts w:ascii="黑体" w:hAnsi="黑体" w:eastAsia="黑体" w:cs="黑体"/>
          <w:spacing w:val="8"/>
          <w:sz w:val="32"/>
          <w:szCs w:val="32"/>
        </w:rPr>
        <w:t>、财政拨款收入支出预算总体情况说明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一般公共预算收支预算278.26万元，政府性基金收支预算0万元。与2021年相比，一般公共预算收支预算增加60万元，增长27.49%。主要原因：2021年结转智慧景区建设50万元奖金补贴和本年新增研究院经费10万元。政府性基金收支预算增加0万元，增长0%。</w:t>
      </w:r>
    </w:p>
    <w:p>
      <w:pPr>
        <w:pStyle w:val="9"/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五、</w:t>
      </w:r>
      <w:r>
        <w:rPr>
          <w:rFonts w:ascii="黑体" w:hAnsi="黑体" w:eastAsia="黑体" w:cs="黑体"/>
          <w:spacing w:val="8"/>
          <w:sz w:val="32"/>
          <w:szCs w:val="32"/>
        </w:rPr>
        <w:t>一般公共预算支出预算情况说明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伊川县二程文化园管理处2022年一般公共预算支出年初预算为278.26万元。其中：基本支出10万元，占3.59%；项目支出268.26万元，占96.41%。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六</w:t>
      </w:r>
      <w:r>
        <w:rPr>
          <w:rFonts w:ascii="黑体" w:hAnsi="黑体" w:eastAsia="黑体" w:cs="黑体"/>
          <w:spacing w:val="10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一般公共预算基本支出预算情况说明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伊川县二程文化园管理处2022年一般公共预算基本支出年初预算为10万元。其中：人员经费支出0万元，占0%；公用经费支出10万元，占100%。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76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七、一般公共预算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“</w:t>
      </w:r>
      <w:r>
        <w:rPr>
          <w:rFonts w:ascii="黑体" w:hAnsi="黑体" w:eastAsia="黑体" w:cs="黑体"/>
          <w:spacing w:val="9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”</w:t>
      </w:r>
      <w:r>
        <w:rPr>
          <w:rFonts w:ascii="黑体" w:hAnsi="黑体" w:eastAsia="黑体" w:cs="黑体"/>
          <w:spacing w:val="9"/>
          <w:sz w:val="32"/>
          <w:szCs w:val="32"/>
        </w:rPr>
        <w:t>经费支出预算情况说</w:t>
      </w:r>
      <w:r>
        <w:rPr>
          <w:rFonts w:ascii="黑体" w:hAnsi="黑体" w:eastAsia="黑体" w:cs="黑体"/>
          <w:spacing w:val="5"/>
          <w:sz w:val="32"/>
          <w:szCs w:val="32"/>
        </w:rPr>
        <w:t>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伊川县二程文化园管理处2022年“三公”经费支出预算为0万元。2022年“三公”经费支出预算数比2021年增加0万元。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</w:rPr>
        <w:t>(一)因公出国(境)费0万元，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主要用于单位工作人员公务出国(境)的住宿费、旅费、伙食补助费、杂费、培训费等支出。预算数与2021年保持一致。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</w:rPr>
        <w:t>(二)公务接待费0万元，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主要用于按规定开支的各类公务接待(含外宾接待)支出，预算数比2021年增加0万元。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</w:rPr>
        <w:t>(三)公务用车购置及运行费0万元，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其中：公务用车购置费0万元；公务用车运行维护费0万元，主要用于开展工作所需公务用车的燃料费、维修费、过路过桥费、保险费、安全奖励费用等支出。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60" w:firstLineChars="200"/>
        <w:jc w:val="both"/>
        <w:rPr>
          <w:rFonts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八、政府性基金支出预算情况说明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伊川县二程文化园管理处2022年无政府性基金预算拨款安排的支出。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76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九、国有资本经营预算支出预算情况说</w:t>
      </w:r>
      <w:r>
        <w:rPr>
          <w:rFonts w:ascii="黑体" w:hAnsi="黑体" w:eastAsia="黑体" w:cs="黑体"/>
          <w:spacing w:val="6"/>
          <w:sz w:val="32"/>
          <w:szCs w:val="32"/>
        </w:rPr>
        <w:t>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伊川县二程文化园管理处2022年无国有资本经营预算拨款安排的支出。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right="0" w:firstLine="688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十</w:t>
      </w:r>
      <w:r>
        <w:rPr>
          <w:rFonts w:ascii="黑体" w:hAnsi="黑体" w:eastAsia="黑体" w:cs="黑体"/>
          <w:spacing w:val="7"/>
          <w:sz w:val="32"/>
          <w:szCs w:val="32"/>
        </w:rPr>
        <w:t>、</w:t>
      </w:r>
      <w:r>
        <w:rPr>
          <w:rFonts w:ascii="黑体" w:hAnsi="黑体" w:eastAsia="黑体" w:cs="黑体"/>
          <w:spacing w:val="6"/>
          <w:sz w:val="32"/>
          <w:szCs w:val="32"/>
        </w:rPr>
        <w:t>其他重要事项情况说明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  <w:t>(一)行政(事业)单位机构运行经费支出预算情况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机构运行经费支出预算10万元，主要保障机构正常运转及正常履职需要所需支出，包含公用经费、公务交通补贴、工会经费、职工福利费等。与2021年相比，增加0万元，增长0%。主要原因：与2021年持平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  <w:t>(二)政府采购支出预算情况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伊川县二程文化园管理处2022年政府采购预算安排0万元，其中：政府采购货物预算0万元、政府采购工程预算0万元、政府采购服务预算0万元。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  <w:t>(三)绩效目标设置情况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  <w:t>(四)国有资产占用情况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2021年期末，伊川县二程文化园管理处共有车辆0辆，其中：一般公务用车0辆、一般执法执勤用车0辆、特种专业技术用车0辆，其他用车0辆，单位价值50万元以上通用设备0套，单位价值100万元以上专用设备0套。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51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2"/>
          <w:sz w:val="32"/>
          <w:szCs w:val="32"/>
        </w:rPr>
        <w:t>专项转移支付项目情况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伊川县二程文化园管理处2022年无负责管理的专项转移支付项目。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leftChars="0" w:right="0" w:firstLine="648" w:firstLineChars="200"/>
        <w:jc w:val="both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right="0" w:firstLine="668" w:firstLineChars="200"/>
        <w:jc w:val="both"/>
        <w:rPr>
          <w:rFonts w:ascii="黑体" w:hAnsi="黑体" w:eastAsia="黑体" w:cs="黑体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right="0" w:firstLine="668" w:firstLineChars="200"/>
        <w:jc w:val="both"/>
        <w:rPr>
          <w:rFonts w:ascii="黑体" w:hAnsi="黑体" w:eastAsia="黑体" w:cs="黑体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right="0" w:firstLine="668" w:firstLineChars="200"/>
        <w:jc w:val="both"/>
        <w:rPr>
          <w:rFonts w:ascii="黑体" w:hAnsi="黑体" w:eastAsia="黑体" w:cs="黑体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right="0" w:firstLine="668" w:firstLineChars="200"/>
        <w:jc w:val="both"/>
        <w:rPr>
          <w:rFonts w:ascii="黑体" w:hAnsi="黑体" w:eastAsia="黑体" w:cs="黑体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right="0" w:firstLine="668" w:firstLineChars="200"/>
        <w:jc w:val="both"/>
        <w:rPr>
          <w:rFonts w:ascii="黑体" w:hAnsi="黑体" w:eastAsia="黑体" w:cs="黑体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left="0" w:right="0" w:firstLine="668" w:firstLineChars="200"/>
        <w:jc w:val="both"/>
        <w:rPr>
          <w:rFonts w:ascii="黑体" w:hAnsi="黑体" w:eastAsia="黑体" w:cs="黑体"/>
          <w:spacing w:val="7"/>
          <w:sz w:val="32"/>
          <w:szCs w:val="32"/>
        </w:rPr>
      </w:pPr>
    </w:p>
    <w:p>
      <w:pPr>
        <w:spacing w:before="114" w:line="227" w:lineRule="auto"/>
        <w:ind w:firstLine="3640" w:firstLineChars="1000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spacing w:before="114" w:line="227" w:lineRule="auto"/>
        <w:ind w:firstLine="3640" w:firstLineChars="1000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spacing w:before="114" w:line="227" w:lineRule="auto"/>
        <w:ind w:firstLine="3640" w:firstLineChars="1000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spacing w:before="114" w:line="227" w:lineRule="auto"/>
        <w:ind w:firstLine="3640" w:firstLineChars="1000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spacing w:before="114" w:line="227" w:lineRule="auto"/>
        <w:ind w:firstLine="3640" w:firstLineChars="1000"/>
        <w:rPr>
          <w:rFonts w:ascii="黑体" w:hAnsi="黑体" w:eastAsia="黑体" w:cs="黑体"/>
          <w:spacing w:val="7"/>
          <w:sz w:val="35"/>
          <w:szCs w:val="35"/>
        </w:rPr>
      </w:pPr>
    </w:p>
    <w:p>
      <w:pPr>
        <w:spacing w:before="114" w:line="227" w:lineRule="auto"/>
        <w:ind w:firstLine="3640" w:firstLineChars="10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第</w:t>
      </w:r>
      <w:r>
        <w:rPr>
          <w:rFonts w:ascii="黑体" w:hAnsi="黑体" w:eastAsia="黑体" w:cs="黑体"/>
          <w:spacing w:val="6"/>
          <w:sz w:val="35"/>
          <w:szCs w:val="35"/>
        </w:rPr>
        <w:t>三部分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名词解释</w:t>
      </w:r>
    </w:p>
    <w:p>
      <w:pPr>
        <w:spacing w:line="358" w:lineRule="auto"/>
      </w:pPr>
    </w:p>
    <w:p>
      <w:pPr>
        <w:spacing w:line="359" w:lineRule="auto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政拨款收入：是指同级财政拨付的资金：包括一般公共预算拨款、政府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性基金预算拨款、国有资本经营预算拨款。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事业收入：是指事业单位开展专业活动及辅助活动所取得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三、其他收入：是指单位取得的除“财政拨款”、“事业收入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“事业单位经营收入”等以外的收入。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四、用事业基金弥补收支差额：是指事业单位在当年的“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财政拨款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入”、“事业收入”、“经营收入”和“其他收入”不足以安排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当年支出的情况下，使用以前年度积累的事业基金(即事业单</w:t>
      </w:r>
      <w:r>
        <w:rPr>
          <w:rFonts w:hint="eastAsia" w:ascii="仿宋_GB2312" w:hAnsi="仿宋_GB2312" w:eastAsia="仿宋_GB2312" w:cs="仿宋_GB2312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前各年度收支相抵后，按国家规定提取、用于弥补以后年度收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支差额的基金)弥补当年收支缺口的资金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五、基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本支出：是指为保障机构正常运转、完成日常工作任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六、项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支出：是指在基本支出之外，为完成特定的行政工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作任务或事业发展目标所发生的支出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七、“三公”经费：是指纳入同级财政预算管理，单位使用财政拨款安排的因公出国(境)费、公务用车购置及运行费和公务接待费。其中，因公出国(境)费反映单位公务出国(境)的住宿费、差旅费、伙食补助费、杂费、培训费等支出；公务用车购置及运行费反映单位公务用车购置费及租用费、燃料、维修费、过路过桥费、保险费、安全奖励费用等支出；公务接待费反映单位按规定开支的各类公务接待(含外宾接待)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八、行政(事业)单位机构运行经费：是指为保障行政单位(包括行政单位和事业单位)运行用于购买货物和服务的各项资金,包括办公及印刷费、邮电费、差旅费、会议费、福利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件：2022年伊川县二程文化园管理处预算表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spacing w:before="100" w:line="227" w:lineRule="auto"/>
        <w:ind w:left="654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spacing w:before="100" w:line="227" w:lineRule="auto"/>
        <w:ind w:left="654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spacing w:before="100" w:line="227" w:lineRule="auto"/>
        <w:ind w:left="654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spacing w:before="100" w:line="227" w:lineRule="auto"/>
        <w:ind w:left="654"/>
        <w:rPr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984" w:right="1531" w:bottom="1417" w:left="1531" w:header="0" w:footer="846" w:gutter="0"/>
          <w:pgNumType w:fmt="numberInDash"/>
          <w:cols w:space="720" w:num="1"/>
        </w:sectPr>
      </w:pPr>
    </w:p>
    <w:p>
      <w:pPr>
        <w:spacing w:before="100" w:line="227" w:lineRule="auto"/>
      </w:pPr>
      <w:r>
        <w:drawing>
          <wp:inline distT="0" distB="0" distL="114300" distR="114300">
            <wp:extent cx="8813800" cy="562356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  <w:r>
        <w:drawing>
          <wp:inline distT="0" distB="0" distL="114300" distR="114300">
            <wp:extent cx="8811895" cy="1830070"/>
            <wp:effectExtent l="0" t="0" r="825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189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  <w:rPr>
          <w:rFonts w:ascii="仿宋" w:hAnsi="仿宋" w:eastAsia="仿宋" w:cs="仿宋"/>
          <w:sz w:val="31"/>
          <w:szCs w:val="31"/>
        </w:rPr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2530" cy="2075815"/>
            <wp:effectExtent l="0" t="0" r="762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253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8880" cy="5476875"/>
            <wp:effectExtent l="0" t="0" r="127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  <w:r>
        <w:drawing>
          <wp:inline distT="0" distB="0" distL="114300" distR="114300">
            <wp:extent cx="8816975" cy="2491105"/>
            <wp:effectExtent l="0" t="0" r="317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1697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6340" cy="127254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163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1260" cy="2600960"/>
            <wp:effectExtent l="0" t="0" r="889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1126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6340" cy="207645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163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1895" cy="2010410"/>
            <wp:effectExtent l="0" t="0" r="825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1189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6975" cy="2403475"/>
            <wp:effectExtent l="0" t="0" r="317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1697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8245" cy="2170430"/>
            <wp:effectExtent l="0" t="0" r="190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</w:p>
    <w:p>
      <w:pPr>
        <w:spacing w:before="100" w:line="227" w:lineRule="auto"/>
      </w:pPr>
      <w:r>
        <w:drawing>
          <wp:inline distT="0" distB="0" distL="114300" distR="114300">
            <wp:extent cx="8815705" cy="3194050"/>
            <wp:effectExtent l="0" t="0" r="4445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1570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9" w:h="11906" w:orient="landscape"/>
      <w:pgMar w:top="1701" w:right="1474" w:bottom="1417" w:left="1474" w:header="0" w:footer="845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TQ5OTBhMTkzYjVkMDllYzAyYTFhM2MwMDQyMWUifQ=="/>
  </w:docVars>
  <w:rsids>
    <w:rsidRoot w:val="007B0F4D"/>
    <w:rsid w:val="00076712"/>
    <w:rsid w:val="00465E35"/>
    <w:rsid w:val="007B0F4D"/>
    <w:rsid w:val="00DC4D0C"/>
    <w:rsid w:val="01177506"/>
    <w:rsid w:val="033F16CC"/>
    <w:rsid w:val="04272A4A"/>
    <w:rsid w:val="04F01CDA"/>
    <w:rsid w:val="08316AA1"/>
    <w:rsid w:val="09015385"/>
    <w:rsid w:val="0984657C"/>
    <w:rsid w:val="099E1F14"/>
    <w:rsid w:val="0A1C72DC"/>
    <w:rsid w:val="0ABB4D47"/>
    <w:rsid w:val="0B4F07F0"/>
    <w:rsid w:val="0B974E6D"/>
    <w:rsid w:val="0CCF56F4"/>
    <w:rsid w:val="0D876491"/>
    <w:rsid w:val="10710382"/>
    <w:rsid w:val="12781141"/>
    <w:rsid w:val="139A4B30"/>
    <w:rsid w:val="13BA79FB"/>
    <w:rsid w:val="14EC0E79"/>
    <w:rsid w:val="154B7804"/>
    <w:rsid w:val="156B1E0B"/>
    <w:rsid w:val="171F21BA"/>
    <w:rsid w:val="17B254D6"/>
    <w:rsid w:val="1B244243"/>
    <w:rsid w:val="1B454796"/>
    <w:rsid w:val="1BA50EE0"/>
    <w:rsid w:val="1BD17564"/>
    <w:rsid w:val="1C9D24FF"/>
    <w:rsid w:val="1CB6536F"/>
    <w:rsid w:val="1D0D1432"/>
    <w:rsid w:val="1FE33C5E"/>
    <w:rsid w:val="20C718F8"/>
    <w:rsid w:val="219D08AB"/>
    <w:rsid w:val="21A01EF7"/>
    <w:rsid w:val="21BC3427"/>
    <w:rsid w:val="21C67161"/>
    <w:rsid w:val="21FA5CFD"/>
    <w:rsid w:val="23CB3B95"/>
    <w:rsid w:val="28C13CBC"/>
    <w:rsid w:val="2C5D1AF0"/>
    <w:rsid w:val="2D32459D"/>
    <w:rsid w:val="2DC221AF"/>
    <w:rsid w:val="2F240817"/>
    <w:rsid w:val="2F7D2448"/>
    <w:rsid w:val="2FA978B1"/>
    <w:rsid w:val="2FE74BB2"/>
    <w:rsid w:val="319F0414"/>
    <w:rsid w:val="32022E63"/>
    <w:rsid w:val="32AB482D"/>
    <w:rsid w:val="344828F8"/>
    <w:rsid w:val="364F07F4"/>
    <w:rsid w:val="366D4898"/>
    <w:rsid w:val="38C64B83"/>
    <w:rsid w:val="39276F80"/>
    <w:rsid w:val="39776BAE"/>
    <w:rsid w:val="3ACC12E7"/>
    <w:rsid w:val="3BD771D7"/>
    <w:rsid w:val="3DC917AD"/>
    <w:rsid w:val="417C1E33"/>
    <w:rsid w:val="41BE4CC7"/>
    <w:rsid w:val="44E87F0C"/>
    <w:rsid w:val="45221B4B"/>
    <w:rsid w:val="48FC3C31"/>
    <w:rsid w:val="49E044FA"/>
    <w:rsid w:val="4C545E87"/>
    <w:rsid w:val="4C7354D5"/>
    <w:rsid w:val="4C773D60"/>
    <w:rsid w:val="4D127FA2"/>
    <w:rsid w:val="4D195E56"/>
    <w:rsid w:val="4D44414D"/>
    <w:rsid w:val="4E5B25D7"/>
    <w:rsid w:val="4EE32861"/>
    <w:rsid w:val="52CC2C1B"/>
    <w:rsid w:val="52EF66C4"/>
    <w:rsid w:val="562468CA"/>
    <w:rsid w:val="567A0C6D"/>
    <w:rsid w:val="58AC79A2"/>
    <w:rsid w:val="599F3F10"/>
    <w:rsid w:val="5A5F09E5"/>
    <w:rsid w:val="5B9343AB"/>
    <w:rsid w:val="5EAC1B52"/>
    <w:rsid w:val="61E57855"/>
    <w:rsid w:val="628F5A13"/>
    <w:rsid w:val="63C45248"/>
    <w:rsid w:val="65674E95"/>
    <w:rsid w:val="65752C9E"/>
    <w:rsid w:val="65D25BFC"/>
    <w:rsid w:val="66551352"/>
    <w:rsid w:val="69361688"/>
    <w:rsid w:val="69F613A3"/>
    <w:rsid w:val="6B2667E8"/>
    <w:rsid w:val="6BF7370E"/>
    <w:rsid w:val="6C2C42D2"/>
    <w:rsid w:val="701F74F8"/>
    <w:rsid w:val="70E058EC"/>
    <w:rsid w:val="751247A7"/>
    <w:rsid w:val="75E51AE3"/>
    <w:rsid w:val="7A5E5F9F"/>
    <w:rsid w:val="7BE67FFA"/>
    <w:rsid w:val="7DDF4034"/>
    <w:rsid w:val="7F2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0"/>
    <w:basedOn w:val="1"/>
    <w:qFormat/>
    <w:uiPriority w:val="0"/>
    <w:pPr>
      <w:kinsoku/>
      <w:autoSpaceDE/>
      <w:autoSpaceDN/>
      <w:adjustRightInd/>
      <w:snapToGrid/>
      <w:jc w:val="both"/>
      <w:textAlignment w:val="auto"/>
    </w:pPr>
    <w:rPr>
      <w:rFonts w:ascii="Calibri" w:hAnsi="Calibri" w:eastAsia="宋体" w:cs="宋体"/>
      <w:snapToGrid/>
      <w:color w:val="auto"/>
    </w:rPr>
  </w:style>
  <w:style w:type="character" w:customStyle="1" w:styleId="10">
    <w:name w:val="批注文字 Char"/>
    <w:basedOn w:val="7"/>
    <w:link w:val="2"/>
    <w:qFormat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2568</Words>
  <Characters>2763</Characters>
  <Lines>22</Lines>
  <Paragraphs>6</Paragraphs>
  <TotalTime>1</TotalTime>
  <ScaleCrop>false</ScaleCrop>
  <LinksUpToDate>false</LinksUpToDate>
  <CharactersWithSpaces>2766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2023-07-10T08:29:00Z</dcterms:created>
  <dc:creator>hp</dc:creator>
  <cp:lastModifiedBy>搏美广告（2）</cp:lastModifiedBy>
  <dcterms:modified xsi:type="dcterms:W3CDTF">2023-07-11T10:19:48Z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2023-05-05T15:24:31Z</vt:filetime>
  </property>
  <property fmtid="{D5CDD505-2E9C-101B-9397-08002B2CF9AE}" pid="4" name="UsrData">
    <vt:lpwstr>6454af204e2c48b522f0e0a6</vt:lpwstr>
  </property>
  <property fmtid="{D5CDD505-2E9C-101B-9397-08002B2CF9AE}" pid="5" name="KSOProductBuildVer">
    <vt:lpwstr>2052-11.1.0.14309</vt:lpwstr>
  </property>
  <property fmtid="{D5CDD505-2E9C-101B-9397-08002B2CF9AE}" pid="6" name="ICV">
    <vt:lpwstr>17AD12B4FCF64CF09DED2010EFBDD4D2_13</vt:lpwstr>
  </property>
</Properties>
</file>