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after="240" w:line="240" w:lineRule="auto"/>
        <w:ind w:left="0" w:leftChars="0" w:firstLine="0" w:firstLineChars="0"/>
        <w:rPr>
          <w:sz w:val="32"/>
          <w:szCs w:val="32"/>
        </w:rPr>
      </w:pPr>
      <w:r>
        <w:rPr>
          <w:color w:val="000000"/>
          <w:sz w:val="32"/>
          <w:szCs w:val="32"/>
        </w:rPr>
        <w:t>附件</w:t>
      </w:r>
      <w:r>
        <w:rPr>
          <w:color w:val="000000"/>
          <w:sz w:val="32"/>
          <w:szCs w:val="32"/>
          <w:lang w:val="zh-CN" w:eastAsia="zh-CN" w:bidi="zh-CN"/>
        </w:rPr>
        <w:t>6</w:t>
      </w:r>
      <w:r>
        <w:rPr>
          <w:rFonts w:hint="eastAsia"/>
          <w:color w:val="000000"/>
          <w:sz w:val="32"/>
          <w:szCs w:val="32"/>
          <w:lang w:val="zh-CN" w:eastAsia="zh-CN" w:bidi="zh-CN"/>
        </w:rPr>
        <w:t>：</w:t>
      </w:r>
    </w:p>
    <w:p>
      <w:pPr>
        <w:pStyle w:val="13"/>
        <w:keepNext/>
        <w:keepLines/>
        <w:spacing w:after="100" w:line="240" w:lineRule="auto"/>
        <w:rPr>
          <w:sz w:val="44"/>
          <w:szCs w:val="44"/>
        </w:rPr>
      </w:pPr>
      <w:bookmarkStart w:id="0" w:name="bookmark46"/>
      <w:bookmarkStart w:id="1" w:name="bookmark47"/>
      <w:bookmarkStart w:id="2" w:name="bookmark48"/>
      <w:r>
        <w:rPr>
          <w:sz w:val="44"/>
          <w:szCs w:val="44"/>
        </w:rPr>
        <w:t>文明施工标准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17"/>
        <w:gridCol w:w="84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施工事项</w:t>
            </w:r>
          </w:p>
        </w:tc>
        <w:tc>
          <w:tcPr>
            <w:tcW w:w="8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施工标准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5" w:hRule="exac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346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物料堆放需占用城市道路</w:t>
            </w:r>
          </w:p>
        </w:tc>
        <w:tc>
          <w:tcPr>
            <w:tcW w:w="8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spacing w:line="355" w:lineRule="exact"/>
              <w:ind w:firstLine="540"/>
              <w:jc w:val="both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在街道两侧和公共场地临时堆放物料，搭建非永久性建筑物、构筑物或者其他设施的，按承诺时限按时完成占道施工，文明施工，设置围挡等防护措施，不直接在路面上拌砂浆、混凝土（设置隔离措施），施工完成后，应按原标准恢复或实施补偿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0" w:hRule="exac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市政道路施工</w:t>
            </w:r>
          </w:p>
        </w:tc>
        <w:tc>
          <w:tcPr>
            <w:tcW w:w="8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spacing w:line="370" w:lineRule="exact"/>
              <w:ind w:firstLine="540"/>
              <w:jc w:val="both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确保施工安全，施工不破坏地下管线，施工完成后恢复原状；做到文明施工，设置施工牌、围挡等防护措施齐全；按承诺时限按时完成；施工完成后，，应按原标准恢复或实施补偿。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城市河道范围施工</w:t>
            </w:r>
          </w:p>
        </w:tc>
        <w:tc>
          <w:tcPr>
            <w:tcW w:w="8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spacing w:line="240" w:lineRule="auto"/>
              <w:ind w:firstLine="520"/>
              <w:jc w:val="both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临时占用河道水域不影响行洪，</w:t>
            </w:r>
            <w:r>
              <w:rPr>
                <w:color w:val="585D5C"/>
                <w:sz w:val="20"/>
                <w:szCs w:val="20"/>
              </w:rPr>
              <w:t>工</w:t>
            </w:r>
            <w:r>
              <w:rPr>
                <w:color w:val="333739"/>
                <w:sz w:val="20"/>
                <w:szCs w:val="20"/>
              </w:rPr>
              <w:t>程结束后及时恢复，且做好相应的补救措施。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7" w:hRule="exac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占用或挖掘城市道路</w:t>
            </w:r>
          </w:p>
        </w:tc>
        <w:tc>
          <w:tcPr>
            <w:tcW w:w="8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spacing w:line="361" w:lineRule="exact"/>
              <w:ind w:firstLine="540"/>
              <w:jc w:val="both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按照《道路交通标志和标线》第四部分：作业区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zh-CN" w:bidi="en-US"/>
              </w:rPr>
              <w:t>（GB5768.4-2017）</w:t>
            </w:r>
            <w:r>
              <w:rPr>
                <w:color w:val="333739"/>
                <w:sz w:val="20"/>
                <w:szCs w:val="20"/>
              </w:rPr>
              <w:t>规定，制作相应施工标志，规范设置，严格落实安全防护措施，照明不足应予增设照「明设施。围挡应严格按照设计文件及《市政工程施工安全检查标准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zh-CN" w:bidi="en-US"/>
              </w:rPr>
              <w:t>XGJJ/T275-2018）</w:t>
            </w:r>
            <w:r>
              <w:rPr>
                <w:color w:val="333739"/>
                <w:sz w:val="20"/>
                <w:szCs w:val="20"/>
              </w:rPr>
              <w:t>的要求进行设置，平交路口釆用网状或镂空等通透式围挡。在作业期间，应对施工标志、安全防护</w:t>
            </w:r>
            <w:r>
              <w:rPr>
                <w:sz w:val="20"/>
                <w:szCs w:val="20"/>
              </w:rPr>
              <w:t>措施、</w:t>
            </w:r>
            <w:r>
              <w:rPr>
                <w:color w:val="333739"/>
                <w:sz w:val="20"/>
                <w:szCs w:val="20"/>
              </w:rPr>
              <w:t>照明设施等加强日常巡查、维护，确保“规范、齐全、有效”。施工作业车辆、机械应当安装示警灯，喷涂明显的标「志图案，作业时应当开启示警灯和危险报警闪光灯。</w:t>
            </w:r>
            <w:r>
              <w:rPr>
                <w:sz w:val="20"/>
                <w:szCs w:val="20"/>
              </w:rPr>
              <w:t>施</w:t>
            </w:r>
            <w:r>
              <w:rPr>
                <w:color w:val="333739"/>
                <w:sz w:val="20"/>
                <w:szCs w:val="20"/>
              </w:rPr>
              <w:t>工车辆严禁抛、洒、滴、漏，对污染的路面应及时派员</w:t>
            </w:r>
            <w:r>
              <w:rPr>
                <w:sz w:val="20"/>
                <w:szCs w:val="20"/>
              </w:rPr>
              <w:t>清除；</w:t>
            </w:r>
            <w:r>
              <w:rPr>
                <w:color w:val="333739"/>
                <w:sz w:val="20"/>
                <w:szCs w:val="20"/>
              </w:rPr>
              <w:t>施工人员必须在上岗前接受安全技术教育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color w:val="333739"/>
                <w:sz w:val="20"/>
                <w:szCs w:val="20"/>
              </w:rPr>
              <w:t>和技能培训。作业区人员不得在作业控制区外活动，施工车辆</w:t>
            </w:r>
            <w:r>
              <w:rPr>
                <w:sz w:val="20"/>
                <w:szCs w:val="20"/>
              </w:rPr>
              <w:t>和材料</w:t>
            </w:r>
            <w:r>
              <w:rPr>
                <w:color w:val="333739"/>
                <w:sz w:val="20"/>
                <w:szCs w:val="20"/>
              </w:rPr>
              <w:t>等物品不得堆放在缓冲区或作业区之外。施工结束应及时清理相关设施及障碍物。作业时间避开警卫任务，尽量不在早晚高峰期进行，恶劣天气环境禁止施工作业。施工完成后，按原标准恢复或实施补偿。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5" w:hRule="exac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spacing w:line="362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公路用地范围内埋设管线等设施</w:t>
            </w:r>
          </w:p>
          <w:p>
            <w:pPr>
              <w:pStyle w:val="17"/>
              <w:spacing w:line="362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建筑控制区内埋设管线等设施</w:t>
            </w:r>
          </w:p>
        </w:tc>
        <w:tc>
          <w:tcPr>
            <w:tcW w:w="8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350" w:lineRule="exact"/>
              <w:ind w:firstLine="0"/>
              <w:jc w:val="both"/>
              <w:rPr>
                <w:sz w:val="20"/>
                <w:szCs w:val="20"/>
              </w:rPr>
            </w:pPr>
            <w:bookmarkStart w:id="3" w:name="_GoBack"/>
            <w:bookmarkEnd w:id="3"/>
            <w:r>
              <w:rPr>
                <w:color w:val="333739"/>
                <w:sz w:val="20"/>
                <w:szCs w:val="20"/>
              </w:rPr>
              <w:t>设计、施工方案和应急预案必须符合公路法律法规和技术规范的规定，避'开公路路基范围，并严格按照方案施工。做好施工期的安全围护措施，做好施工期的公路保洁措施。涉及公路路产损坏的，按原标准恢复或赔偿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spacing w:after="140"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水利工程管理范围内</w:t>
            </w:r>
          </w:p>
          <w:p>
            <w:pPr>
              <w:pStyle w:val="17"/>
              <w:spacing w:line="240" w:lineRule="auto"/>
              <w:ind w:firstLine="820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施工</w:t>
            </w:r>
          </w:p>
        </w:tc>
        <w:tc>
          <w:tcPr>
            <w:tcW w:w="8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spacing w:line="374" w:lineRule="exact"/>
              <w:ind w:firstLine="540"/>
              <w:jc w:val="both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临时占用水域不影响行洪，工程结束后及时恢复；不破坏泵站、水闸、水文等水利设施。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1" w:hRule="exac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spacing w:line="240" w:lineRule="auto"/>
              <w:ind w:firstLine="240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临时占用城市绿地</w:t>
            </w:r>
          </w:p>
        </w:tc>
        <w:tc>
          <w:tcPr>
            <w:tcW w:w="8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spacing w:line="370" w:lineRule="exact"/>
              <w:ind w:firstLine="540"/>
              <w:jc w:val="both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依据临时占用城市绿地位置、面积和时限施工，做到文明施工，设置围栏等防护措施，施工完成后按原标准恢复或赔偿。</w:t>
            </w:r>
          </w:p>
        </w:tc>
      </w:tr>
    </w:tbl>
    <w:p>
      <w:pPr>
        <w:rPr>
          <w:lang w:eastAsia="zh-CN"/>
        </w:rPr>
      </w:pPr>
    </w:p>
    <w:sectPr>
      <w:footerReference r:id="rId5" w:type="default"/>
      <w:footerReference r:id="rId6" w:type="even"/>
      <w:pgSz w:w="11900" w:h="16840"/>
      <w:pgMar w:top="1888" w:right="679" w:bottom="1888" w:left="647" w:header="146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934720</wp:posOffset>
              </wp:positionH>
              <wp:positionV relativeFrom="page">
                <wp:posOffset>9940290</wp:posOffset>
              </wp:positionV>
              <wp:extent cx="393065" cy="137160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9306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i/>
                              <w:iCs/>
                            </w:rPr>
                            <w:t>-14</w:t>
                          </w:r>
                          <w:r>
                            <w:rPr>
                              <w:i/>
                              <w:iCs/>
                              <w:lang w:val="zh-CN" w:eastAsia="zh-CN" w:bidi="zh-CN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7" o:spid="_x0000_s1026" o:spt="202" type="#_x0000_t202" style="position:absolute;left:0pt;margin-left:73.6pt;margin-top:782.7pt;height:10.8pt;width:30.9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C4jkKjYAAAADQEAAA8AAABkcnMvZG93bnJldi54bWxNj81OwzAQhO9IvIO1&#10;lbhRO1HbhBCnh0pcuFEQEjc33sZR/RPFbpq8PdsT3HZ2R7Pf1PvZWTbhGPvgJWRrAQx9G3TvOwlf&#10;n2/PJbCYlNfKBo8SFoywbx4falXpcPMfOB1TxyjEx0pJMCkNFeexNehUXIcBPd3OYXQqkRw7rkd1&#10;o3BneS7EjjvVe/pg1IAHg+3leHUSivk74BDxgD/nqR1Nv5T2fZHyaZWJV2AJ5/Rnhjs+oUNDTKdw&#10;9ToyS3pT5GSlYbvbboCRJRcvGbDTfVUWAnhT8/8tml9QSwMEFAAAAAgAh07iQH4w+caVAQAAJgMA&#10;AA4AAABkcnMvZTJvRG9jLnhtbK1S22rjMBB9L/QfhN4bOw1NuyZK2aW0FJZtobsfoMhSLLAuzCix&#10;8/c7Upy0bN/Kvshz85kzZ2Z1P7qe7TWgDV7w+azmTHsVWuu3gv/5/Xh1xxkm6VvZB68FP2jk9+vL&#10;i9UQG30dutC3GhiBeGyGKHiXUmyqClWnncRZiNpT0gRwMpEL26oFORC666vrul5WQ4A2QlAakaIP&#10;xyRfF3xjtEovxqBOrBecuKXyQnk3+a3WK9lsQcbOqomG/AILJ62npmeoB5kk24H9BOWsgoDBpJkK&#10;rgrGWKXLDDTNvP5nmrdORl1mIXEwnmXC/werfu1fgdlW8OUtZ1462lFpy8gncYaIDdW8RapK448w&#10;Cp5gp08ppHgeezTg8pcGYlRCSh/O6uoxMUXBxbdFvbzhTFFqvridL4v61fvPETA96eBYNgQHWl7R&#10;VO5/YiIuVHoqyb18eLR9n+OZ5JFJttK4GSfmm9AeiPhA+xXc0wFy1j97ki+fwsmAk7GZjAyO8fsu&#10;UYPSN6MeoaZmtIxCZzqcvO2Pfql6P+/1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C4jkKjYAAAA&#10;DQEAAA8AAAAAAAAAAQAgAAAAOAAAAGRycy9kb3ducmV2LnhtbFBLAQIUABQAAAAIAIdO4kB+MPnG&#10;lQEAACYDAAAOAAAAAAAAAAEAIAAAAD0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i/>
                        <w:iCs/>
                      </w:rPr>
                      <w:t>-14</w:t>
                    </w:r>
                    <w:r>
                      <w:rPr>
                        <w:i/>
                        <w:iCs/>
                        <w:lang w:val="zh-CN" w:eastAsia="zh-CN" w:bidi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92"/>
    <w:rsid w:val="000274AC"/>
    <w:rsid w:val="00262C6F"/>
    <w:rsid w:val="003537A3"/>
    <w:rsid w:val="004C0592"/>
    <w:rsid w:val="00535F5F"/>
    <w:rsid w:val="005B628F"/>
    <w:rsid w:val="0073694E"/>
    <w:rsid w:val="00BB6E8A"/>
    <w:rsid w:val="EFF5579D"/>
    <w:rsid w:val="F6FFE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3_"/>
    <w:basedOn w:val="3"/>
    <w:link w:val="5"/>
    <w:qFormat/>
    <w:uiPriority w:val="0"/>
    <w:rPr>
      <w:rFonts w:ascii="宋体" w:hAnsi="宋体" w:eastAsia="宋体" w:cs="宋体"/>
      <w:color w:val="B13A2B"/>
      <w:sz w:val="168"/>
      <w:szCs w:val="168"/>
      <w:u w:val="none"/>
      <w:shd w:val="clear" w:color="auto" w:fill="auto"/>
      <w:lang w:val="zh-TW" w:eastAsia="zh-TW" w:bidi="zh-TW"/>
    </w:rPr>
  </w:style>
  <w:style w:type="paragraph" w:customStyle="1" w:styleId="5">
    <w:name w:val="Body text|3"/>
    <w:basedOn w:val="1"/>
    <w:link w:val="4"/>
    <w:qFormat/>
    <w:uiPriority w:val="0"/>
    <w:rPr>
      <w:rFonts w:ascii="宋体" w:hAnsi="宋体" w:eastAsia="宋体" w:cs="宋体"/>
      <w:color w:val="B13A2B"/>
      <w:sz w:val="168"/>
      <w:szCs w:val="168"/>
      <w:lang w:val="zh-TW" w:eastAsia="zh-TW" w:bidi="zh-TW"/>
    </w:rPr>
  </w:style>
  <w:style w:type="character" w:customStyle="1" w:styleId="6">
    <w:name w:val="Body text|2_"/>
    <w:basedOn w:val="3"/>
    <w:link w:val="7"/>
    <w:qFormat/>
    <w:uiPriority w:val="0"/>
    <w:rPr>
      <w:rFonts w:ascii="宋体" w:hAnsi="宋体" w:eastAsia="宋体" w:cs="宋体"/>
      <w:color w:val="B13A2B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qFormat/>
    <w:uiPriority w:val="0"/>
    <w:pPr>
      <w:spacing w:after="1040" w:line="600" w:lineRule="exact"/>
      <w:ind w:left="360"/>
    </w:pPr>
    <w:rPr>
      <w:rFonts w:ascii="宋体" w:hAnsi="宋体" w:eastAsia="宋体" w:cs="宋体"/>
      <w:color w:val="B13A2B"/>
      <w:sz w:val="44"/>
      <w:szCs w:val="44"/>
      <w:lang w:val="zh-TW" w:eastAsia="zh-TW" w:bidi="zh-TW"/>
    </w:rPr>
  </w:style>
  <w:style w:type="character" w:customStyle="1" w:styleId="8">
    <w:name w:val="Header or footer|2_"/>
    <w:basedOn w:val="3"/>
    <w:link w:val="9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9">
    <w:name w:val="Header or footer|2"/>
    <w:basedOn w:val="1"/>
    <w:link w:val="8"/>
    <w:qFormat/>
    <w:uiPriority w:val="0"/>
    <w:rPr>
      <w:sz w:val="20"/>
      <w:szCs w:val="20"/>
    </w:rPr>
  </w:style>
  <w:style w:type="character" w:customStyle="1" w:styleId="10">
    <w:name w:val="Body text|1_"/>
    <w:basedOn w:val="3"/>
    <w:link w:val="11"/>
    <w:qFormat/>
    <w:uiPriority w:val="0"/>
    <w:rPr>
      <w:rFonts w:ascii="宋体" w:hAnsi="宋体" w:eastAsia="宋体" w:cs="宋体"/>
      <w:color w:val="1D2023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01" w:lineRule="auto"/>
      <w:ind w:firstLine="400"/>
    </w:pPr>
    <w:rPr>
      <w:rFonts w:ascii="宋体" w:hAnsi="宋体" w:eastAsia="宋体" w:cs="宋体"/>
      <w:color w:val="1D2023"/>
      <w:sz w:val="30"/>
      <w:szCs w:val="30"/>
      <w:lang w:val="zh-TW" w:eastAsia="zh-TW" w:bidi="zh-TW"/>
    </w:rPr>
  </w:style>
  <w:style w:type="character" w:customStyle="1" w:styleId="12">
    <w:name w:val="Heading #1|1_"/>
    <w:basedOn w:val="3"/>
    <w:link w:val="13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3">
    <w:name w:val="Heading #1|1"/>
    <w:basedOn w:val="1"/>
    <w:link w:val="12"/>
    <w:qFormat/>
    <w:uiPriority w:val="0"/>
    <w:pPr>
      <w:spacing w:line="605" w:lineRule="exact"/>
      <w:jc w:val="center"/>
      <w:outlineLvl w:val="0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4">
    <w:name w:val="Header or footer|1_"/>
    <w:basedOn w:val="3"/>
    <w:link w:val="15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</w:rPr>
  </w:style>
  <w:style w:type="paragraph" w:customStyle="1" w:styleId="15">
    <w:name w:val="Header or footer|1"/>
    <w:basedOn w:val="1"/>
    <w:link w:val="14"/>
    <w:qFormat/>
    <w:uiPriority w:val="0"/>
    <w:rPr>
      <w:rFonts w:ascii="宋体" w:hAnsi="宋体" w:eastAsia="宋体" w:cs="宋体"/>
      <w:sz w:val="32"/>
      <w:szCs w:val="32"/>
    </w:rPr>
  </w:style>
  <w:style w:type="character" w:customStyle="1" w:styleId="16">
    <w:name w:val="Other|1_"/>
    <w:basedOn w:val="3"/>
    <w:link w:val="17"/>
    <w:qFormat/>
    <w:uiPriority w:val="0"/>
    <w:rPr>
      <w:rFonts w:ascii="宋体" w:hAnsi="宋体" w:eastAsia="宋体" w:cs="宋体"/>
      <w:color w:val="1D2023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qFormat/>
    <w:uiPriority w:val="0"/>
    <w:pPr>
      <w:spacing w:line="401" w:lineRule="auto"/>
      <w:ind w:firstLine="400"/>
    </w:pPr>
    <w:rPr>
      <w:rFonts w:ascii="宋体" w:hAnsi="宋体" w:eastAsia="宋体" w:cs="宋体"/>
      <w:color w:val="1D2023"/>
      <w:sz w:val="30"/>
      <w:szCs w:val="30"/>
      <w:lang w:val="zh-TW" w:eastAsia="zh-TW" w:bidi="zh-TW"/>
    </w:rPr>
  </w:style>
  <w:style w:type="character" w:customStyle="1" w:styleId="18">
    <w:name w:val="Picture caption|1_"/>
    <w:basedOn w:val="3"/>
    <w:link w:val="19"/>
    <w:qFormat/>
    <w:uiPriority w:val="0"/>
    <w:rPr>
      <w:rFonts w:ascii="宋体" w:hAnsi="宋体" w:eastAsia="宋体" w:cs="宋体"/>
      <w:color w:val="1D2023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9">
    <w:name w:val="Picture caption|1"/>
    <w:basedOn w:val="1"/>
    <w:link w:val="18"/>
    <w:qFormat/>
    <w:uiPriority w:val="0"/>
    <w:pPr>
      <w:jc w:val="center"/>
    </w:pPr>
    <w:rPr>
      <w:rFonts w:ascii="宋体" w:hAnsi="宋体" w:eastAsia="宋体" w:cs="宋体"/>
      <w:color w:val="1D2023"/>
      <w:sz w:val="30"/>
      <w:szCs w:val="30"/>
      <w:lang w:val="zh-TW" w:eastAsia="zh-TW" w:bidi="zh-TW"/>
    </w:rPr>
  </w:style>
  <w:style w:type="character" w:customStyle="1" w:styleId="20">
    <w:name w:val="Table caption|1_"/>
    <w:basedOn w:val="3"/>
    <w:link w:val="21"/>
    <w:qFormat/>
    <w:uiPriority w:val="0"/>
    <w:rPr>
      <w:rFonts w:ascii="宋体" w:hAnsi="宋体" w:eastAsia="宋体" w:cs="宋体"/>
      <w:color w:val="1D2023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1">
    <w:name w:val="Table caption|1"/>
    <w:basedOn w:val="1"/>
    <w:link w:val="20"/>
    <w:qFormat/>
    <w:uiPriority w:val="0"/>
    <w:rPr>
      <w:rFonts w:ascii="宋体" w:hAnsi="宋体" w:eastAsia="宋体" w:cs="宋体"/>
      <w:color w:val="1D2023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986</Words>
  <Characters>5621</Characters>
  <Lines>46</Lines>
  <Paragraphs>13</Paragraphs>
  <TotalTime>30</TotalTime>
  <ScaleCrop>false</ScaleCrop>
  <LinksUpToDate>false</LinksUpToDate>
  <CharactersWithSpaces>6594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2023-07-25T10:32:00Z</dcterms:created>
  <dc:creator>Administrator</dc:creator>
  <cp:lastModifiedBy>yc-020</cp:lastModifiedBy>
  <dcterms:modified xsi:type="dcterms:W3CDTF">2023-07-25T16:11:51Z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