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伊川县县级“免申即享”惠企政策清单（第一批）</w:t>
      </w:r>
    </w:p>
    <w:tbl>
      <w:tblPr>
        <w:tblStyle w:val="6"/>
        <w:tblW w:w="1387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4905"/>
        <w:gridCol w:w="1290"/>
        <w:gridCol w:w="795"/>
        <w:gridCol w:w="1620"/>
        <w:gridCol w:w="288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490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政策内容</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享受</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主体</w:t>
            </w:r>
          </w:p>
        </w:tc>
        <w:tc>
          <w:tcPr>
            <w:tcW w:w="79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类</w:t>
            </w:r>
            <w:r>
              <w:rPr>
                <w:rFonts w:hint="eastAsia" w:ascii="黑体" w:hAnsi="黑体" w:eastAsia="黑体" w:cs="黑体"/>
                <w:sz w:val="24"/>
                <w:szCs w:val="24"/>
                <w:vertAlign w:val="baseline"/>
                <w:lang w:val="en-US" w:eastAsia="zh-CN"/>
              </w:rPr>
              <w:t xml:space="preserve"> </w:t>
            </w:r>
            <w:r>
              <w:rPr>
                <w:rFonts w:hint="eastAsia" w:ascii="黑体" w:hAnsi="黑体" w:eastAsia="黑体" w:cs="黑体"/>
                <w:sz w:val="24"/>
                <w:szCs w:val="24"/>
                <w:vertAlign w:val="baseline"/>
                <w:lang w:eastAsia="zh-CN"/>
              </w:rPr>
              <w:t>别</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责任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单位</w:t>
            </w:r>
          </w:p>
        </w:tc>
        <w:tc>
          <w:tcPr>
            <w:tcW w:w="288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政策依据</w:t>
            </w:r>
          </w:p>
        </w:tc>
        <w:tc>
          <w:tcPr>
            <w:tcW w:w="186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咨询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1</w:t>
            </w:r>
          </w:p>
        </w:tc>
        <w:tc>
          <w:tcPr>
            <w:tcW w:w="49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auto"/>
                <w:sz w:val="24"/>
                <w:szCs w:val="24"/>
                <w:highlight w:val="none"/>
                <w:lang w:val="en-US" w:eastAsia="zh-CN"/>
              </w:rPr>
              <w:t>上市后备企业申请在上海证券交易所、深圳证券交易所、北京证券交易所上市的，按照完成辅导验收、通过发行审核、挂牌上市三个节点，分别给予100万元、150 万元、50 万元奖励。</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上市后备</w:t>
            </w:r>
            <w:r>
              <w:rPr>
                <w:rFonts w:hint="default" w:ascii="Times New Roman" w:hAnsi="Times New Roman" w:eastAsia="仿宋_GB2312" w:cs="Times New Roman"/>
                <w:color w:val="auto"/>
                <w:sz w:val="24"/>
                <w:szCs w:val="24"/>
                <w:highlight w:val="none"/>
                <w:lang w:val="en-US" w:eastAsia="zh-CN"/>
              </w:rPr>
              <w:t>企业</w:t>
            </w:r>
          </w:p>
        </w:tc>
        <w:tc>
          <w:tcPr>
            <w:tcW w:w="79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奖励</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县金融工作服务中心</w:t>
            </w:r>
          </w:p>
        </w:tc>
        <w:tc>
          <w:tcPr>
            <w:tcW w:w="2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w:t>
            </w:r>
            <w:r>
              <w:rPr>
                <w:rFonts w:hint="eastAsia" w:eastAsia="仿宋_GB2312" w:cs="Times New Roman"/>
                <w:color w:val="auto"/>
                <w:sz w:val="24"/>
                <w:szCs w:val="24"/>
                <w:highlight w:val="none"/>
                <w:lang w:val="en-US" w:eastAsia="zh-CN"/>
              </w:rPr>
              <w:t>伊川县人民政府办公室关于印发</w:t>
            </w:r>
            <w:r>
              <w:rPr>
                <w:rFonts w:hint="default" w:ascii="Times New Roman" w:hAnsi="Times New Roman" w:eastAsia="仿宋_GB2312" w:cs="Times New Roman"/>
                <w:color w:val="auto"/>
                <w:sz w:val="24"/>
                <w:szCs w:val="24"/>
                <w:highlight w:val="none"/>
                <w:lang w:val="en-US" w:eastAsia="zh-CN"/>
              </w:rPr>
              <w:t>伊川县强力推进上市后备企业培育工作实施方案</w:t>
            </w:r>
            <w:r>
              <w:rPr>
                <w:rFonts w:hint="eastAsia" w:eastAsia="仿宋_GB2312" w:cs="Times New Roman"/>
                <w:color w:val="auto"/>
                <w:sz w:val="24"/>
                <w:szCs w:val="24"/>
                <w:highlight w:val="none"/>
                <w:lang w:val="en-US" w:eastAsia="zh-CN"/>
              </w:rPr>
              <w:t>的通知</w:t>
            </w:r>
            <w:r>
              <w:rPr>
                <w:rFonts w:hint="default" w:ascii="Times New Roman" w:hAnsi="Times New Roman" w:eastAsia="仿宋_GB2312" w:cs="Times New Roman"/>
                <w:color w:val="auto"/>
                <w:sz w:val="24"/>
                <w:szCs w:val="24"/>
                <w:highlight w:val="none"/>
                <w:lang w:val="en-US" w:eastAsia="zh-CN"/>
              </w:rPr>
              <w:t>》（伊政办〔2022〕18号）</w:t>
            </w:r>
          </w:p>
        </w:tc>
        <w:tc>
          <w:tcPr>
            <w:tcW w:w="186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0379-68552228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2</w:t>
            </w:r>
          </w:p>
        </w:tc>
        <w:tc>
          <w:tcPr>
            <w:tcW w:w="49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上市后备企业申请在境外主要交易所上市的，按照证监会批复同意、上市交易两个节点，分别给予 100 万元、150 万元奖励。</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上市后备</w:t>
            </w:r>
            <w:r>
              <w:rPr>
                <w:rFonts w:hint="default" w:ascii="Times New Roman" w:hAnsi="Times New Roman" w:eastAsia="仿宋_GB2312" w:cs="Times New Roman"/>
                <w:color w:val="auto"/>
                <w:sz w:val="24"/>
                <w:szCs w:val="24"/>
                <w:highlight w:val="none"/>
                <w:lang w:val="en-US" w:eastAsia="zh-CN"/>
              </w:rPr>
              <w:t>企业</w:t>
            </w:r>
          </w:p>
        </w:tc>
        <w:tc>
          <w:tcPr>
            <w:tcW w:w="79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奖补</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县金融工作服务中心</w:t>
            </w:r>
          </w:p>
        </w:tc>
        <w:tc>
          <w:tcPr>
            <w:tcW w:w="2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w:t>
            </w:r>
            <w:r>
              <w:rPr>
                <w:rFonts w:hint="eastAsia" w:eastAsia="仿宋_GB2312" w:cs="Times New Roman"/>
                <w:color w:val="auto"/>
                <w:sz w:val="24"/>
                <w:szCs w:val="24"/>
                <w:highlight w:val="none"/>
                <w:lang w:val="en-US" w:eastAsia="zh-CN"/>
              </w:rPr>
              <w:t>伊川县人民政府办公室关于印发</w:t>
            </w:r>
            <w:r>
              <w:rPr>
                <w:rFonts w:hint="default" w:ascii="Times New Roman" w:hAnsi="Times New Roman" w:eastAsia="仿宋_GB2312" w:cs="Times New Roman"/>
                <w:color w:val="auto"/>
                <w:sz w:val="24"/>
                <w:szCs w:val="24"/>
                <w:highlight w:val="none"/>
                <w:lang w:val="en-US" w:eastAsia="zh-CN"/>
              </w:rPr>
              <w:t>伊川县强力推进上市后备企业培育工作实施方案</w:t>
            </w:r>
            <w:r>
              <w:rPr>
                <w:rFonts w:hint="eastAsia" w:eastAsia="仿宋_GB2312" w:cs="Times New Roman"/>
                <w:color w:val="auto"/>
                <w:sz w:val="24"/>
                <w:szCs w:val="24"/>
                <w:highlight w:val="none"/>
                <w:lang w:val="en-US" w:eastAsia="zh-CN"/>
              </w:rPr>
              <w:t>的通知</w:t>
            </w:r>
            <w:r>
              <w:rPr>
                <w:rFonts w:hint="default" w:ascii="Times New Roman" w:hAnsi="Times New Roman" w:eastAsia="仿宋_GB2312" w:cs="Times New Roman"/>
                <w:color w:val="auto"/>
                <w:sz w:val="24"/>
                <w:szCs w:val="24"/>
                <w:highlight w:val="none"/>
                <w:lang w:val="en-US" w:eastAsia="zh-CN"/>
              </w:rPr>
              <w:t>》（伊政办〔2022〕18号）</w:t>
            </w:r>
          </w:p>
        </w:tc>
        <w:tc>
          <w:tcPr>
            <w:tcW w:w="186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0379-68552228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3</w:t>
            </w:r>
          </w:p>
        </w:tc>
        <w:tc>
          <w:tcPr>
            <w:tcW w:w="49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auto"/>
                <w:sz w:val="24"/>
                <w:szCs w:val="24"/>
                <w:highlight w:val="none"/>
                <w:lang w:val="en-US" w:eastAsia="zh-CN"/>
              </w:rPr>
              <w:t>上市后备企业直接在新三板创新层成功挂牌的给予 25 万奖励。</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上市后备</w:t>
            </w:r>
            <w:r>
              <w:rPr>
                <w:rFonts w:hint="default" w:ascii="Times New Roman" w:hAnsi="Times New Roman" w:eastAsia="仿宋_GB2312" w:cs="Times New Roman"/>
                <w:color w:val="auto"/>
                <w:sz w:val="24"/>
                <w:szCs w:val="24"/>
                <w:highlight w:val="none"/>
                <w:lang w:val="en-US" w:eastAsia="zh-CN"/>
              </w:rPr>
              <w:t>企业</w:t>
            </w:r>
          </w:p>
        </w:tc>
        <w:tc>
          <w:tcPr>
            <w:tcW w:w="79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奖励</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县金融工作服务中心</w:t>
            </w:r>
          </w:p>
        </w:tc>
        <w:tc>
          <w:tcPr>
            <w:tcW w:w="2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w:t>
            </w:r>
            <w:r>
              <w:rPr>
                <w:rFonts w:hint="eastAsia" w:eastAsia="仿宋_GB2312" w:cs="Times New Roman"/>
                <w:color w:val="auto"/>
                <w:sz w:val="24"/>
                <w:szCs w:val="24"/>
                <w:highlight w:val="none"/>
                <w:lang w:val="en-US" w:eastAsia="zh-CN"/>
              </w:rPr>
              <w:t>伊川县人民政府办公室关于印发</w:t>
            </w:r>
            <w:r>
              <w:rPr>
                <w:rFonts w:hint="default" w:ascii="Times New Roman" w:hAnsi="Times New Roman" w:eastAsia="仿宋_GB2312" w:cs="Times New Roman"/>
                <w:color w:val="auto"/>
                <w:sz w:val="24"/>
                <w:szCs w:val="24"/>
                <w:highlight w:val="none"/>
                <w:lang w:val="en-US" w:eastAsia="zh-CN"/>
              </w:rPr>
              <w:t>伊川县强力推进上市后备企业培育工作实施方案</w:t>
            </w:r>
            <w:r>
              <w:rPr>
                <w:rFonts w:hint="eastAsia" w:eastAsia="仿宋_GB2312" w:cs="Times New Roman"/>
                <w:color w:val="auto"/>
                <w:sz w:val="24"/>
                <w:szCs w:val="24"/>
                <w:highlight w:val="none"/>
                <w:lang w:val="en-US" w:eastAsia="zh-CN"/>
              </w:rPr>
              <w:t>的通知</w:t>
            </w:r>
            <w:r>
              <w:rPr>
                <w:rFonts w:hint="default" w:ascii="Times New Roman" w:hAnsi="Times New Roman" w:eastAsia="仿宋_GB2312" w:cs="Times New Roman"/>
                <w:color w:val="auto"/>
                <w:sz w:val="24"/>
                <w:szCs w:val="24"/>
                <w:highlight w:val="none"/>
                <w:lang w:val="en-US" w:eastAsia="zh-CN"/>
              </w:rPr>
              <w:t>》（伊政办〔2022〕18号）</w:t>
            </w:r>
          </w:p>
        </w:tc>
        <w:tc>
          <w:tcPr>
            <w:tcW w:w="186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0379-68552228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4</w:t>
            </w:r>
          </w:p>
        </w:tc>
        <w:tc>
          <w:tcPr>
            <w:tcW w:w="49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上市后备企业在新三板基础层成功挂牌的给予15 万奖励，对经基础层培育首次进入新三板创新层的企业给予10 万元奖励。</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上市后备</w:t>
            </w:r>
            <w:r>
              <w:rPr>
                <w:rFonts w:hint="default" w:ascii="Times New Roman" w:hAnsi="Times New Roman" w:eastAsia="仿宋_GB2312" w:cs="Times New Roman"/>
                <w:color w:val="auto"/>
                <w:sz w:val="24"/>
                <w:szCs w:val="24"/>
                <w:highlight w:val="none"/>
                <w:lang w:val="en-US" w:eastAsia="zh-CN"/>
              </w:rPr>
              <w:t>企业</w:t>
            </w:r>
          </w:p>
        </w:tc>
        <w:tc>
          <w:tcPr>
            <w:tcW w:w="79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奖励</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县金融工作服务中心</w:t>
            </w:r>
          </w:p>
        </w:tc>
        <w:tc>
          <w:tcPr>
            <w:tcW w:w="2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w:t>
            </w:r>
            <w:r>
              <w:rPr>
                <w:rFonts w:hint="eastAsia" w:eastAsia="仿宋_GB2312" w:cs="Times New Roman"/>
                <w:color w:val="auto"/>
                <w:sz w:val="24"/>
                <w:szCs w:val="24"/>
                <w:highlight w:val="none"/>
                <w:lang w:val="en-US" w:eastAsia="zh-CN"/>
              </w:rPr>
              <w:t>伊川县人民政府办公室关于印发</w:t>
            </w:r>
            <w:r>
              <w:rPr>
                <w:rFonts w:hint="default" w:ascii="Times New Roman" w:hAnsi="Times New Roman" w:eastAsia="仿宋_GB2312" w:cs="Times New Roman"/>
                <w:color w:val="auto"/>
                <w:sz w:val="24"/>
                <w:szCs w:val="24"/>
                <w:highlight w:val="none"/>
                <w:lang w:val="en-US" w:eastAsia="zh-CN"/>
              </w:rPr>
              <w:t>伊川县强力推进上市后备企业培育工作实施方案</w:t>
            </w:r>
            <w:r>
              <w:rPr>
                <w:rFonts w:hint="eastAsia" w:eastAsia="仿宋_GB2312" w:cs="Times New Roman"/>
                <w:color w:val="auto"/>
                <w:sz w:val="24"/>
                <w:szCs w:val="24"/>
                <w:highlight w:val="none"/>
                <w:lang w:val="en-US" w:eastAsia="zh-CN"/>
              </w:rPr>
              <w:t>的通知</w:t>
            </w:r>
            <w:r>
              <w:rPr>
                <w:rFonts w:hint="default" w:ascii="Times New Roman" w:hAnsi="Times New Roman" w:eastAsia="仿宋_GB2312" w:cs="Times New Roman"/>
                <w:color w:val="auto"/>
                <w:sz w:val="24"/>
                <w:szCs w:val="24"/>
                <w:highlight w:val="none"/>
                <w:lang w:val="en-US" w:eastAsia="zh-CN"/>
              </w:rPr>
              <w:t>》（伊政办〔2022〕18号）</w:t>
            </w:r>
          </w:p>
        </w:tc>
        <w:tc>
          <w:tcPr>
            <w:tcW w:w="186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0379-68552228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5</w:t>
            </w:r>
          </w:p>
        </w:tc>
        <w:tc>
          <w:tcPr>
            <w:tcW w:w="490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上市后备企业在四板交易板、展示板挂牌的企业，分别给予10万元、3万元奖励。</w:t>
            </w:r>
          </w:p>
        </w:tc>
        <w:tc>
          <w:tcPr>
            <w:tcW w:w="129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上市后备</w:t>
            </w:r>
            <w:r>
              <w:rPr>
                <w:rFonts w:hint="default" w:ascii="Times New Roman" w:hAnsi="Times New Roman" w:eastAsia="仿宋_GB2312" w:cs="Times New Roman"/>
                <w:color w:val="auto"/>
                <w:sz w:val="24"/>
                <w:szCs w:val="24"/>
                <w:highlight w:val="none"/>
                <w:lang w:val="en-US" w:eastAsia="zh-CN"/>
              </w:rPr>
              <w:t>企业</w:t>
            </w:r>
          </w:p>
        </w:tc>
        <w:tc>
          <w:tcPr>
            <w:tcW w:w="79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szCs w:val="24"/>
                <w:highlight w:val="none"/>
                <w:lang w:val="en-US" w:eastAsia="zh-CN"/>
              </w:rPr>
              <w:t>奖励</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县金融工作服务中心</w:t>
            </w:r>
          </w:p>
        </w:tc>
        <w:tc>
          <w:tcPr>
            <w:tcW w:w="288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w:t>
            </w:r>
            <w:r>
              <w:rPr>
                <w:rFonts w:hint="eastAsia" w:eastAsia="仿宋_GB2312" w:cs="Times New Roman"/>
                <w:color w:val="auto"/>
                <w:sz w:val="24"/>
                <w:szCs w:val="24"/>
                <w:highlight w:val="none"/>
                <w:lang w:val="en-US" w:eastAsia="zh-CN"/>
              </w:rPr>
              <w:t>伊川县人民政府办公室关于印发</w:t>
            </w:r>
            <w:r>
              <w:rPr>
                <w:rFonts w:hint="default" w:ascii="Times New Roman" w:hAnsi="Times New Roman" w:eastAsia="仿宋_GB2312" w:cs="Times New Roman"/>
                <w:color w:val="auto"/>
                <w:sz w:val="24"/>
                <w:szCs w:val="24"/>
                <w:highlight w:val="none"/>
                <w:lang w:val="en-US" w:eastAsia="zh-CN"/>
              </w:rPr>
              <w:t>伊川县强力推进上市后备企业培育工作实施方案</w:t>
            </w:r>
            <w:r>
              <w:rPr>
                <w:rFonts w:hint="eastAsia" w:eastAsia="仿宋_GB2312" w:cs="Times New Roman"/>
                <w:color w:val="auto"/>
                <w:sz w:val="24"/>
                <w:szCs w:val="24"/>
                <w:highlight w:val="none"/>
                <w:lang w:val="en-US" w:eastAsia="zh-CN"/>
              </w:rPr>
              <w:t>的通知</w:t>
            </w:r>
            <w:r>
              <w:rPr>
                <w:rFonts w:hint="default" w:ascii="Times New Roman" w:hAnsi="Times New Roman" w:eastAsia="仿宋_GB2312" w:cs="Times New Roman"/>
                <w:color w:val="auto"/>
                <w:sz w:val="24"/>
                <w:szCs w:val="24"/>
                <w:highlight w:val="none"/>
                <w:lang w:val="en-US" w:eastAsia="zh-CN"/>
              </w:rPr>
              <w:t>》（伊政办〔2022〕18号）</w:t>
            </w:r>
          </w:p>
        </w:tc>
        <w:tc>
          <w:tcPr>
            <w:tcW w:w="186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0379-68552228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6</w:t>
            </w:r>
          </w:p>
        </w:tc>
        <w:tc>
          <w:tcPr>
            <w:tcW w:w="490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0" w:line="300" w:lineRule="exact"/>
              <w:ind w:left="0" w:leftChars="0" w:firstLine="0" w:firstLineChars="0"/>
              <w:jc w:val="left"/>
              <w:textAlignment w:val="auto"/>
              <w:rPr>
                <w:rFonts w:hint="default" w:ascii="Times New Roman" w:hAnsi="Times New Roman" w:eastAsia="仿宋_GB2312" w:cs="Times New Roman"/>
                <w:color w:val="auto"/>
                <w:spacing w:val="0"/>
                <w:w w:val="100"/>
                <w:sz w:val="24"/>
                <w:szCs w:val="24"/>
                <w:lang w:val="en-US" w:eastAsia="zh-CN"/>
              </w:rPr>
            </w:pPr>
            <w:r>
              <w:rPr>
                <w:rFonts w:hint="eastAsia" w:ascii="Times New Roman" w:hAnsi="Times New Roman" w:eastAsia="仿宋_GB2312" w:cs="Times New Roman"/>
                <w:color w:val="auto"/>
                <w:spacing w:val="0"/>
                <w:w w:val="100"/>
                <w:sz w:val="24"/>
                <w:szCs w:val="24"/>
                <w:lang w:val="en-US" w:eastAsia="zh-CN"/>
              </w:rPr>
              <w:t>对新认定的中国驰名商标，给予每件一次性100万元的奖励。奖励资金市级财政承担60万元，县政府财政承担40万元。</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pacing w:val="0"/>
                <w:w w:val="100"/>
                <w:sz w:val="24"/>
                <w:szCs w:val="24"/>
                <w:lang w:val="en-US" w:eastAsia="zh-CN"/>
              </w:rPr>
            </w:pPr>
            <w:r>
              <w:rPr>
                <w:rFonts w:hint="eastAsia" w:eastAsia="仿宋_GB2312" w:cs="Times New Roman"/>
                <w:b w:val="0"/>
                <w:bCs w:val="0"/>
                <w:color w:val="auto"/>
                <w:spacing w:val="0"/>
                <w:w w:val="100"/>
                <w:sz w:val="24"/>
                <w:szCs w:val="24"/>
                <w:lang w:val="en-US" w:eastAsia="zh-CN"/>
              </w:rPr>
              <w:t>符合条件的企业</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奖励</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县</w:t>
            </w:r>
            <w:r>
              <w:rPr>
                <w:rFonts w:hint="eastAsia" w:eastAsia="仿宋_GB2312" w:cs="Times New Roman"/>
                <w:sz w:val="24"/>
                <w:szCs w:val="24"/>
                <w:lang w:val="en-US" w:eastAsia="zh-CN"/>
              </w:rPr>
              <w:t>市场监管局</w:t>
            </w:r>
          </w:p>
          <w:p>
            <w:pPr>
              <w:pStyle w:val="2"/>
              <w:keepNext w:val="0"/>
              <w:keepLines w:val="0"/>
              <w:pageBreakBefore w:val="0"/>
              <w:widowControl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2880"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vertAlign w:val="baseline"/>
                <w:lang w:val="en-US" w:eastAsia="zh-CN"/>
              </w:rPr>
              <w:t>《洛阳市市场监管局洛阳市财政局关于印发洛阳市知识产权专项资金管理办法的通知》</w:t>
            </w:r>
            <w:r>
              <w:rPr>
                <w:rFonts w:hint="eastAsia"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洛市监</w:t>
            </w: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15号</w:t>
            </w:r>
            <w:r>
              <w:rPr>
                <w:rFonts w:hint="eastAsia"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val="en-US" w:eastAsia="zh-CN"/>
              </w:rPr>
            </w:pPr>
          </w:p>
        </w:tc>
        <w:tc>
          <w:tcPr>
            <w:tcW w:w="1867"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0379-6</w:t>
            </w:r>
            <w:r>
              <w:rPr>
                <w:rFonts w:hint="eastAsia" w:ascii="Times New Roman" w:hAnsi="Times New Roman" w:eastAsia="仿宋_GB2312" w:cs="Times New Roman"/>
                <w:sz w:val="24"/>
                <w:szCs w:val="24"/>
                <w:vertAlign w:val="baseline"/>
                <w:lang w:val="en-US" w:eastAsia="zh-CN"/>
              </w:rPr>
              <w:t>8333352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7</w:t>
            </w:r>
          </w:p>
        </w:tc>
        <w:tc>
          <w:tcPr>
            <w:tcW w:w="490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0" w:line="300" w:lineRule="exact"/>
              <w:ind w:left="0" w:leftChars="0" w:firstLine="0" w:firstLineChars="0"/>
              <w:jc w:val="left"/>
              <w:textAlignment w:val="auto"/>
              <w:rPr>
                <w:rFonts w:hint="default" w:ascii="Times New Roman" w:hAnsi="Times New Roman" w:eastAsia="仿宋_GB2312" w:cs="Times New Roman"/>
                <w:color w:val="auto"/>
                <w:spacing w:val="0"/>
                <w:w w:val="100"/>
                <w:sz w:val="24"/>
                <w:szCs w:val="24"/>
                <w:lang w:val="en-US" w:eastAsia="zh-CN"/>
              </w:rPr>
            </w:pPr>
            <w:r>
              <w:rPr>
                <w:rFonts w:hint="eastAsia" w:ascii="Times New Roman" w:hAnsi="Times New Roman" w:eastAsia="仿宋_GB2312" w:cs="Times New Roman"/>
                <w:color w:val="auto"/>
                <w:spacing w:val="0"/>
                <w:w w:val="100"/>
                <w:sz w:val="24"/>
                <w:szCs w:val="24"/>
                <w:lang w:val="en-US" w:eastAsia="zh-CN"/>
              </w:rPr>
              <w:t>对获得中国商标金奖（商标创新奖、商标运用奖）的，给予每件一次性100万元的奖励。奖励资金市级财政承担60万元，县政府财政承担40万元。</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pacing w:val="0"/>
                <w:w w:val="100"/>
                <w:sz w:val="24"/>
                <w:szCs w:val="24"/>
                <w:lang w:val="en-US" w:eastAsia="zh-CN"/>
              </w:rPr>
            </w:pPr>
            <w:r>
              <w:rPr>
                <w:rFonts w:hint="eastAsia" w:eastAsia="仿宋_GB2312" w:cs="Times New Roman"/>
                <w:b w:val="0"/>
                <w:bCs w:val="0"/>
                <w:color w:val="auto"/>
                <w:spacing w:val="0"/>
                <w:w w:val="100"/>
                <w:sz w:val="24"/>
                <w:szCs w:val="24"/>
                <w:lang w:val="en-US" w:eastAsia="zh-CN"/>
              </w:rPr>
              <w:t>符合条件的企业</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奖励</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县</w:t>
            </w:r>
            <w:r>
              <w:rPr>
                <w:rFonts w:hint="eastAsia" w:eastAsia="仿宋_GB2312" w:cs="Times New Roman"/>
                <w:sz w:val="24"/>
                <w:szCs w:val="24"/>
                <w:lang w:val="en-US" w:eastAsia="zh-CN"/>
              </w:rPr>
              <w:t>市场监管局</w:t>
            </w:r>
          </w:p>
          <w:p>
            <w:pPr>
              <w:pStyle w:val="2"/>
              <w:keepNext w:val="0"/>
              <w:keepLines w:val="0"/>
              <w:pageBreakBefore w:val="0"/>
              <w:widowControl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2880"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vertAlign w:val="baseline"/>
                <w:lang w:val="en-US" w:eastAsia="zh-CN"/>
              </w:rPr>
              <w:t>《洛阳市市场监管局洛阳市财政局关于印发洛阳市知识产权专项资金管理办法的通知》</w:t>
            </w:r>
            <w:r>
              <w:rPr>
                <w:rFonts w:hint="eastAsia"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洛市监</w:t>
            </w: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15号</w:t>
            </w:r>
            <w:r>
              <w:rPr>
                <w:rFonts w:hint="eastAsia"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0379-6</w:t>
            </w:r>
            <w:r>
              <w:rPr>
                <w:rFonts w:hint="eastAsia" w:ascii="Times New Roman" w:hAnsi="Times New Roman" w:eastAsia="仿宋_GB2312" w:cs="Times New Roman"/>
                <w:sz w:val="24"/>
                <w:szCs w:val="24"/>
                <w:vertAlign w:val="baseline"/>
                <w:lang w:val="en-US" w:eastAsia="zh-CN"/>
              </w:rPr>
              <w:t>8333352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8</w:t>
            </w:r>
          </w:p>
        </w:tc>
        <w:tc>
          <w:tcPr>
            <w:tcW w:w="4905" w:type="dxa"/>
            <w:vAlign w:val="center"/>
          </w:tcPr>
          <w:p>
            <w:pPr>
              <w:pStyle w:val="3"/>
              <w:keepNext w:val="0"/>
              <w:keepLines w:val="0"/>
              <w:pageBreakBefore w:val="0"/>
              <w:widowControl w:val="0"/>
              <w:kinsoku/>
              <w:wordWrap/>
              <w:overflowPunct/>
              <w:topLinePunct w:val="0"/>
              <w:autoSpaceDE/>
              <w:autoSpaceDN/>
              <w:bidi w:val="0"/>
              <w:adjustRightInd w:val="0"/>
              <w:snapToGrid w:val="0"/>
              <w:spacing w:before="0" w:line="300" w:lineRule="exact"/>
              <w:ind w:left="0" w:leftChars="0" w:firstLine="0" w:firstLineChars="0"/>
              <w:jc w:val="left"/>
              <w:textAlignment w:val="auto"/>
              <w:rPr>
                <w:rFonts w:hint="default" w:ascii="Times New Roman" w:hAnsi="Times New Roman" w:eastAsia="仿宋_GB2312" w:cs="Times New Roman"/>
                <w:color w:val="auto"/>
                <w:spacing w:val="0"/>
                <w:w w:val="100"/>
                <w:sz w:val="24"/>
                <w:szCs w:val="24"/>
                <w:lang w:val="en-US" w:eastAsia="zh-CN"/>
              </w:rPr>
            </w:pPr>
            <w:r>
              <w:rPr>
                <w:rFonts w:hint="eastAsia" w:ascii="Times New Roman" w:hAnsi="Times New Roman" w:eastAsia="仿宋_GB2312" w:cs="Times New Roman"/>
                <w:color w:val="auto"/>
                <w:spacing w:val="0"/>
                <w:w w:val="100"/>
                <w:sz w:val="24"/>
                <w:szCs w:val="24"/>
                <w:lang w:val="en-US" w:eastAsia="zh-CN"/>
              </w:rPr>
              <w:t>新开办企业（个体工商户除外）首套四枚印章免费。</w:t>
            </w:r>
            <w:bookmarkStart w:id="0" w:name="_GoBack"/>
            <w:bookmarkEnd w:id="0"/>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pacing w:val="0"/>
                <w:w w:val="100"/>
                <w:sz w:val="24"/>
                <w:szCs w:val="24"/>
                <w:lang w:val="en-US" w:eastAsia="zh-CN"/>
              </w:rPr>
            </w:pPr>
            <w:r>
              <w:rPr>
                <w:rFonts w:hint="eastAsia" w:eastAsia="仿宋_GB2312" w:cs="Times New Roman"/>
                <w:b w:val="0"/>
                <w:bCs w:val="0"/>
                <w:color w:val="auto"/>
                <w:spacing w:val="0"/>
                <w:w w:val="100"/>
                <w:sz w:val="24"/>
                <w:szCs w:val="24"/>
                <w:lang w:val="en-US" w:eastAsia="zh-CN"/>
              </w:rPr>
              <w:t>新开办企业</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税费减免</w:t>
            </w:r>
          </w:p>
        </w:tc>
        <w:tc>
          <w:tcPr>
            <w:tcW w:w="1620" w:type="dxa"/>
            <w:vAlign w:val="center"/>
          </w:tcPr>
          <w:p>
            <w:pPr>
              <w:pStyle w:val="2"/>
              <w:keepNext w:val="0"/>
              <w:keepLines w:val="0"/>
              <w:pageBreakBefore w:val="0"/>
              <w:widowControl w:val="0"/>
              <w:kinsoku/>
              <w:wordWrap/>
              <w:overflowPunct/>
              <w:topLinePunct w:val="0"/>
              <w:autoSpaceDE/>
              <w:autoSpaceDN/>
              <w:bidi w:val="0"/>
              <w:spacing w:line="30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eastAsia" w:eastAsia="仿宋_GB2312" w:cs="Times New Roman"/>
                <w:sz w:val="24"/>
                <w:szCs w:val="24"/>
                <w:vertAlign w:val="baseline"/>
                <w:lang w:val="en-US" w:eastAsia="zh-CN"/>
              </w:rPr>
              <w:t>县市场监管局、县财政局、县公安局县政务服务和大数据局、县行政服务中心</w:t>
            </w:r>
          </w:p>
        </w:tc>
        <w:tc>
          <w:tcPr>
            <w:tcW w:w="2880"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vertAlign w:val="baseline"/>
                <w:lang w:val="en-US" w:eastAsia="zh-CN"/>
              </w:rPr>
              <w:t>《伊川县市场监管局伊川县财政局伊川县公安局伊川县政务服务和大数据局伊川县行政服务中心关于印发伊川县新开办企业免费刻制印章工作实施方案的通知》</w:t>
            </w:r>
            <w:r>
              <w:rPr>
                <w:rFonts w:hint="eastAsia"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伊市监</w:t>
            </w:r>
            <w:r>
              <w:rPr>
                <w:rFonts w:hint="default" w:ascii="Times New Roman" w:hAnsi="Times New Roman" w:eastAsia="仿宋_GB2312" w:cs="Times New Roman"/>
                <w:sz w:val="24"/>
                <w:szCs w:val="24"/>
                <w:lang w:val="en-US" w:eastAsia="zh-CN"/>
              </w:rPr>
              <w:t>（202</w:t>
            </w: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lang w:val="en-US" w:eastAsia="zh-CN"/>
              </w:rPr>
              <w:t>号</w:t>
            </w:r>
            <w:r>
              <w:rPr>
                <w:rFonts w:hint="eastAsia"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vertAlign w:val="baseline"/>
                <w:lang w:eastAsia="zh-CN"/>
              </w:rPr>
            </w:pPr>
          </w:p>
        </w:tc>
        <w:tc>
          <w:tcPr>
            <w:tcW w:w="1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0379-6</w:t>
            </w:r>
            <w:r>
              <w:rPr>
                <w:rFonts w:hint="eastAsia" w:ascii="Times New Roman" w:hAnsi="Times New Roman" w:eastAsia="仿宋_GB2312" w:cs="Times New Roman"/>
                <w:sz w:val="24"/>
                <w:szCs w:val="24"/>
                <w:vertAlign w:val="baseline"/>
                <w:lang w:val="en-US" w:eastAsia="zh-CN"/>
              </w:rPr>
              <w:t>8333352</w:t>
            </w:r>
          </w:p>
        </w:tc>
      </w:tr>
    </w:tbl>
    <w:p>
      <w:pPr>
        <w:pStyle w:val="2"/>
        <w:keepNext w:val="0"/>
        <w:keepLines w:val="0"/>
        <w:pageBreakBefore w:val="0"/>
        <w:widowControl w:val="0"/>
        <w:kinsoku/>
        <w:wordWrap/>
        <w:overflowPunct/>
        <w:topLinePunct w:val="0"/>
        <w:autoSpaceDE/>
        <w:autoSpaceDN/>
        <w:bidi w:val="0"/>
        <w:spacing w:line="300" w:lineRule="exact"/>
        <w:ind w:left="0" w:leftChars="0" w:firstLine="0" w:firstLineChars="0"/>
        <w:jc w:val="left"/>
        <w:textAlignment w:val="auto"/>
        <w:rPr>
          <w:rFonts w:hint="eastAsia" w:ascii="仿宋_GB2312" w:hAnsi="仿宋_GB2312" w:eastAsia="仿宋_GB2312" w:cs="仿宋_GB2312"/>
          <w:sz w:val="24"/>
          <w:szCs w:val="24"/>
          <w:lang w:val="en-US" w:eastAsia="zh-CN"/>
        </w:rPr>
      </w:pPr>
    </w:p>
    <w:sectPr>
      <w:footerReference r:id="rId3" w:type="default"/>
      <w:pgSz w:w="16838" w:h="11906" w:orient="landscape"/>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MGY3OTA5ZDFmMDcwYjhkNDQ2YzRhMmEzMGNhNDYifQ=="/>
  </w:docVars>
  <w:rsids>
    <w:rsidRoot w:val="50DA546E"/>
    <w:rsid w:val="0AC37758"/>
    <w:rsid w:val="12360359"/>
    <w:rsid w:val="17734709"/>
    <w:rsid w:val="187D0530"/>
    <w:rsid w:val="1C567652"/>
    <w:rsid w:val="256848E3"/>
    <w:rsid w:val="27005BE0"/>
    <w:rsid w:val="2D7D7F0E"/>
    <w:rsid w:val="31352922"/>
    <w:rsid w:val="33E505BB"/>
    <w:rsid w:val="3FE200A5"/>
    <w:rsid w:val="441445A5"/>
    <w:rsid w:val="446F2D91"/>
    <w:rsid w:val="47DF2E6C"/>
    <w:rsid w:val="4BB01057"/>
    <w:rsid w:val="4D2A221C"/>
    <w:rsid w:val="4FCF743D"/>
    <w:rsid w:val="50DA546E"/>
    <w:rsid w:val="588418A2"/>
    <w:rsid w:val="5E7F3237"/>
    <w:rsid w:val="5FEF137E"/>
    <w:rsid w:val="65E41267"/>
    <w:rsid w:val="69624626"/>
    <w:rsid w:val="771F1465"/>
    <w:rsid w:val="779F3BAA"/>
    <w:rsid w:val="7AAD2A82"/>
    <w:rsid w:val="7BAD7D68"/>
    <w:rsid w:val="7D98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仿宋"/>
      <w:sz w:val="32"/>
    </w:rPr>
  </w:style>
  <w:style w:type="paragraph" w:styleId="3">
    <w:name w:val="Body Text"/>
    <w:basedOn w:val="1"/>
    <w:qFormat/>
    <w:uiPriority w:val="1"/>
    <w:pPr>
      <w:spacing w:before="162"/>
      <w:ind w:left="108" w:firstLine="638"/>
    </w:pPr>
    <w:rPr>
      <w:rFonts w:ascii="宋体" w:hAnsi="宋体" w:eastAsia="宋体"/>
      <w:sz w:val="32"/>
      <w:szCs w:val="32"/>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1198</Words>
  <Characters>1372</Characters>
  <Lines>0</Lines>
  <Paragraphs>0</Paragraphs>
  <TotalTime>21</TotalTime>
  <ScaleCrop>false</ScaleCrop>
  <LinksUpToDate>false</LinksUpToDate>
  <CharactersWithSpaces>1382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2023-06-12T03:12:00Z</dcterms:created>
  <dc:creator>Administrator</dc:creator>
  <cp:lastModifiedBy>Administrator</cp:lastModifiedBy>
  <dcterms:modified xsi:type="dcterms:W3CDTF">2023-07-12T10:44:34Z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E1A706034C27477E8C4D058AA7551D01_13</vt:lpwstr>
  </property>
</Properties>
</file>