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0"/>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关于下达2023年第三批衔接推进乡村振兴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w:t>
      </w:r>
      <w:r>
        <w:rPr>
          <w:rFonts w:hint="eastAsia" w:ascii="仿宋_GB2312" w:hAnsi="仿宋_GB2312" w:eastAsia="仿宋_GB2312" w:cs="仿宋_GB2312"/>
          <w:b/>
          <w:bCs/>
          <w:sz w:val="32"/>
          <w:szCs w:val="32"/>
          <w:lang w:eastAsia="zh-CN"/>
        </w:rPr>
        <w:t>农业农村局、水寨镇、鸣皋镇、半坡镇</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年伊川县水寨镇银张村林果产业园道路配套等项目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sz w:val="32"/>
          <w:szCs w:val="32"/>
        </w:rPr>
        <w:t>将伊川县</w:t>
      </w:r>
      <w:r>
        <w:rPr>
          <w:rFonts w:hint="eastAsia" w:ascii="仿宋_GB2312" w:hAnsi="仿宋_GB2312" w:eastAsia="仿宋_GB2312" w:cs="仿宋_GB2312"/>
          <w:color w:val="000000"/>
          <w:sz w:val="32"/>
          <w:szCs w:val="32"/>
          <w:lang w:val="en-US" w:eastAsia="zh-CN"/>
        </w:rPr>
        <w:t>水寨镇银张村林果产业道路配套等项目资金6090186.2元予以下达，</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下达农业农村局</w:t>
      </w:r>
      <w:r>
        <w:rPr>
          <w:rFonts w:hint="eastAsia" w:ascii="仿宋_GB2312" w:hAnsi="仿宋_GB2312" w:eastAsia="仿宋_GB2312" w:cs="仿宋_GB2312"/>
          <w:bCs/>
          <w:color w:val="auto"/>
          <w:sz w:val="32"/>
          <w:szCs w:val="32"/>
          <w:lang w:val="en-US" w:eastAsia="zh-CN"/>
        </w:rPr>
        <w:t>伊川县肉牛繁育体系建设项目资金1839072.10元、水寨镇银张村林果产业园道路配套项目资金1546853.33元、鸣皋镇下章屯村红薯种植基地道路硬化项目2122604.94元、半坡镇段庄村特色种植配套设施项目581655.83元。</w:t>
      </w:r>
      <w:r>
        <w:rPr>
          <w:rFonts w:hint="eastAsia" w:ascii="仿宋_GB2312" w:hAnsi="仿宋_GB2312" w:eastAsia="仿宋_GB2312" w:cs="仿宋_GB2312"/>
          <w:sz w:val="32"/>
          <w:szCs w:val="32"/>
          <w:lang w:val="en-US" w:eastAsia="zh-CN"/>
        </w:rPr>
        <w:t>（详见附表）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根据《关于印发伊川县开展整合使用财政涉农资金实施办法的通知》（伊政办[2016]68号）规定，本次下达的统筹整合资金列入2021政府收支科目“21305扶贫”科目。</w:t>
      </w:r>
      <w:r>
        <w:rPr>
          <w:rFonts w:hint="eastAsia" w:ascii="仿宋_GB2312" w:hAnsi="仿宋_GB2312" w:eastAsia="仿宋_GB2312" w:cs="仿宋_GB2312"/>
          <w:sz w:val="32"/>
          <w:szCs w:val="32"/>
          <w:lang w:eastAsia="zh-CN"/>
        </w:rPr>
        <w:t>县农业农村局、水寨镇、鸣皋镇、半坡镇</w:t>
      </w:r>
      <w:r>
        <w:rPr>
          <w:rFonts w:hint="eastAsia" w:ascii="仿宋_GB2312" w:hAnsi="仿宋_GB2312" w:eastAsia="仿宋_GB2312" w:cs="仿宋_GB2312"/>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附件1：伊川县2023年第</w:t>
      </w:r>
      <w:r>
        <w:rPr>
          <w:rFonts w:hint="eastAsia" w:ascii="仿宋_GB2312" w:hAnsi="仿宋_GB2312" w:eastAsia="仿宋_GB2312" w:cs="仿宋_GB2312"/>
          <w:b w:val="0"/>
          <w:bCs/>
          <w:spacing w:val="-6"/>
          <w:sz w:val="32"/>
          <w:szCs w:val="32"/>
          <w:lang w:eastAsia="zh-CN"/>
        </w:rPr>
        <w:t>三</w:t>
      </w:r>
      <w:r>
        <w:rPr>
          <w:rFonts w:hint="eastAsia" w:ascii="仿宋_GB2312" w:hAnsi="仿宋_GB2312" w:eastAsia="仿宋_GB2312" w:cs="仿宋_GB2312"/>
          <w:b w:val="0"/>
          <w:bCs/>
          <w:spacing w:val="-6"/>
          <w:sz w:val="32"/>
          <w:szCs w:val="32"/>
        </w:rPr>
        <w:t>批衔接推进乡村振兴资金分配表</w:t>
      </w:r>
      <w:bookmarkStart w:id="0" w:name="_GoBack"/>
      <w:bookmarkEnd w:id="0"/>
    </w:p>
    <w:p>
      <w:pPr>
        <w:pStyle w:val="13"/>
        <w:rPr>
          <w:rFonts w:hint="eastAsia"/>
        </w:rPr>
      </w:pPr>
    </w:p>
    <w:p>
      <w:pPr>
        <w:pStyle w:val="13"/>
        <w:rPr>
          <w:rFonts w:hint="eastAsia"/>
        </w:rPr>
      </w:pPr>
    </w:p>
    <w:p>
      <w:pPr>
        <w:pStyle w:val="13"/>
        <w:rPr>
          <w:rFonts w:hint="eastAsia"/>
        </w:rPr>
      </w:pPr>
    </w:p>
    <w:p>
      <w:pPr>
        <w:pStyle w:val="13"/>
        <w:rPr>
          <w:rFonts w:hint="eastAsia"/>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C281F69"/>
    <w:rsid w:val="0CBA589A"/>
    <w:rsid w:val="0D2349E0"/>
    <w:rsid w:val="0D884570"/>
    <w:rsid w:val="0DEB1355"/>
    <w:rsid w:val="0DFA5B87"/>
    <w:rsid w:val="0DFB4B3D"/>
    <w:rsid w:val="0F7871F8"/>
    <w:rsid w:val="0FC64F44"/>
    <w:rsid w:val="10022AD1"/>
    <w:rsid w:val="10E072B6"/>
    <w:rsid w:val="11896889"/>
    <w:rsid w:val="125D53AE"/>
    <w:rsid w:val="129760A8"/>
    <w:rsid w:val="1298748F"/>
    <w:rsid w:val="129C23D2"/>
    <w:rsid w:val="13163094"/>
    <w:rsid w:val="137B303F"/>
    <w:rsid w:val="142D0D9F"/>
    <w:rsid w:val="144C2FDE"/>
    <w:rsid w:val="145232C8"/>
    <w:rsid w:val="148937C0"/>
    <w:rsid w:val="14F50DA4"/>
    <w:rsid w:val="14F70077"/>
    <w:rsid w:val="15C12D1A"/>
    <w:rsid w:val="16264B28"/>
    <w:rsid w:val="16442095"/>
    <w:rsid w:val="166B776B"/>
    <w:rsid w:val="16A43751"/>
    <w:rsid w:val="172D2EFF"/>
    <w:rsid w:val="17E11EA2"/>
    <w:rsid w:val="187D2767"/>
    <w:rsid w:val="18B403CE"/>
    <w:rsid w:val="19692900"/>
    <w:rsid w:val="1A986F4F"/>
    <w:rsid w:val="1B627B13"/>
    <w:rsid w:val="1B7064D4"/>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4F429B"/>
    <w:rsid w:val="229121BE"/>
    <w:rsid w:val="23067BC1"/>
    <w:rsid w:val="239105D5"/>
    <w:rsid w:val="23D30843"/>
    <w:rsid w:val="24763D61"/>
    <w:rsid w:val="24ED38F7"/>
    <w:rsid w:val="27692073"/>
    <w:rsid w:val="27740131"/>
    <w:rsid w:val="28A57EEE"/>
    <w:rsid w:val="28BE7A85"/>
    <w:rsid w:val="29512E02"/>
    <w:rsid w:val="29F35969"/>
    <w:rsid w:val="29FD638B"/>
    <w:rsid w:val="2A507C8D"/>
    <w:rsid w:val="2B04264B"/>
    <w:rsid w:val="2B6C1A1A"/>
    <w:rsid w:val="2BCB379A"/>
    <w:rsid w:val="2BD338DE"/>
    <w:rsid w:val="2BEB1FDF"/>
    <w:rsid w:val="2BED37C5"/>
    <w:rsid w:val="2C030CFD"/>
    <w:rsid w:val="2C423B95"/>
    <w:rsid w:val="2C83526D"/>
    <w:rsid w:val="2DA72612"/>
    <w:rsid w:val="2DB63A39"/>
    <w:rsid w:val="2DF87595"/>
    <w:rsid w:val="2E163979"/>
    <w:rsid w:val="2E24646E"/>
    <w:rsid w:val="2F524B24"/>
    <w:rsid w:val="2FF81ACE"/>
    <w:rsid w:val="3068486C"/>
    <w:rsid w:val="312B7C81"/>
    <w:rsid w:val="318F119B"/>
    <w:rsid w:val="323A3FB6"/>
    <w:rsid w:val="32E26A66"/>
    <w:rsid w:val="3324010F"/>
    <w:rsid w:val="3353526D"/>
    <w:rsid w:val="341D71AA"/>
    <w:rsid w:val="343F3CA4"/>
    <w:rsid w:val="345B70DA"/>
    <w:rsid w:val="34643F5E"/>
    <w:rsid w:val="34DF5286"/>
    <w:rsid w:val="34E8259D"/>
    <w:rsid w:val="36C724BE"/>
    <w:rsid w:val="370B28B9"/>
    <w:rsid w:val="378679C0"/>
    <w:rsid w:val="380A4A95"/>
    <w:rsid w:val="381C1B99"/>
    <w:rsid w:val="384D4981"/>
    <w:rsid w:val="38940F06"/>
    <w:rsid w:val="38F202B5"/>
    <w:rsid w:val="39673821"/>
    <w:rsid w:val="3AE77773"/>
    <w:rsid w:val="3B9921EB"/>
    <w:rsid w:val="3BCD2D43"/>
    <w:rsid w:val="3C4A67EF"/>
    <w:rsid w:val="3C7F4645"/>
    <w:rsid w:val="3D2D77FD"/>
    <w:rsid w:val="3D2E2FD3"/>
    <w:rsid w:val="3D7A7FC6"/>
    <w:rsid w:val="3E427C9C"/>
    <w:rsid w:val="3E8C7CDA"/>
    <w:rsid w:val="3EA33A1A"/>
    <w:rsid w:val="3EA61729"/>
    <w:rsid w:val="3EE50AEA"/>
    <w:rsid w:val="3FC71C76"/>
    <w:rsid w:val="40663F04"/>
    <w:rsid w:val="407F62A0"/>
    <w:rsid w:val="40890521"/>
    <w:rsid w:val="40CD415E"/>
    <w:rsid w:val="410305B7"/>
    <w:rsid w:val="41173D1A"/>
    <w:rsid w:val="41903CF6"/>
    <w:rsid w:val="419B1996"/>
    <w:rsid w:val="41EA4FEF"/>
    <w:rsid w:val="422C5607"/>
    <w:rsid w:val="428C3121"/>
    <w:rsid w:val="42A41642"/>
    <w:rsid w:val="433810BE"/>
    <w:rsid w:val="43482915"/>
    <w:rsid w:val="435412BA"/>
    <w:rsid w:val="440920A4"/>
    <w:rsid w:val="444035EC"/>
    <w:rsid w:val="45284B01"/>
    <w:rsid w:val="454C762D"/>
    <w:rsid w:val="45674829"/>
    <w:rsid w:val="459E1E59"/>
    <w:rsid w:val="47523D62"/>
    <w:rsid w:val="475923DC"/>
    <w:rsid w:val="47975C19"/>
    <w:rsid w:val="48BC05C2"/>
    <w:rsid w:val="49A62143"/>
    <w:rsid w:val="4A3C7922"/>
    <w:rsid w:val="4AA20B5D"/>
    <w:rsid w:val="4ACD636B"/>
    <w:rsid w:val="4ACF369B"/>
    <w:rsid w:val="4B4A399F"/>
    <w:rsid w:val="4B5767AE"/>
    <w:rsid w:val="4C2872FD"/>
    <w:rsid w:val="4C3B3017"/>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7025B1"/>
    <w:rsid w:val="5CD25094"/>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B457F0"/>
    <w:rsid w:val="67F97B02"/>
    <w:rsid w:val="68040309"/>
    <w:rsid w:val="696372B1"/>
    <w:rsid w:val="69C556DC"/>
    <w:rsid w:val="6A0675FC"/>
    <w:rsid w:val="6A5B6767"/>
    <w:rsid w:val="6A905171"/>
    <w:rsid w:val="6ABF405B"/>
    <w:rsid w:val="6B1F4868"/>
    <w:rsid w:val="6BAE515B"/>
    <w:rsid w:val="6BC56001"/>
    <w:rsid w:val="6C3D028D"/>
    <w:rsid w:val="6C6A456F"/>
    <w:rsid w:val="6C733992"/>
    <w:rsid w:val="6CBE13CE"/>
    <w:rsid w:val="6CF8086E"/>
    <w:rsid w:val="6D361187"/>
    <w:rsid w:val="6D6667A4"/>
    <w:rsid w:val="6EA066E5"/>
    <w:rsid w:val="6EBD4ED6"/>
    <w:rsid w:val="6EDF492B"/>
    <w:rsid w:val="6FE54EC4"/>
    <w:rsid w:val="6FE81534"/>
    <w:rsid w:val="6FF95CCA"/>
    <w:rsid w:val="70F96038"/>
    <w:rsid w:val="710B095A"/>
    <w:rsid w:val="71B82978"/>
    <w:rsid w:val="720854ED"/>
    <w:rsid w:val="73593BFF"/>
    <w:rsid w:val="73E927EE"/>
    <w:rsid w:val="73ED1B12"/>
    <w:rsid w:val="74107201"/>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326EA7"/>
    <w:rsid w:val="798A380F"/>
    <w:rsid w:val="79E61F64"/>
    <w:rsid w:val="7A344A7E"/>
    <w:rsid w:val="7A716B70"/>
    <w:rsid w:val="7C6D60C7"/>
    <w:rsid w:val="7CAE6CB7"/>
    <w:rsid w:val="7D622C5C"/>
    <w:rsid w:val="7D7C0783"/>
    <w:rsid w:val="7DD115D7"/>
    <w:rsid w:val="7E1A789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21"/>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
    <w:basedOn w:val="2"/>
    <w:next w:val="11"/>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1">
    <w:name w:val="Body Text First Indent 2"/>
    <w:basedOn w:val="12"/>
    <w:qFormat/>
    <w:uiPriority w:val="0"/>
    <w:pPr>
      <w:ind w:firstLine="420" w:firstLineChars="200"/>
    </w:pPr>
  </w:style>
  <w:style w:type="paragraph" w:customStyle="1" w:styleId="12">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3">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9"/>
    <w:link w:val="6"/>
    <w:qFormat/>
    <w:uiPriority w:val="99"/>
    <w:rPr>
      <w:rFonts w:ascii="Calibri" w:hAnsi="Calibri" w:eastAsia="宋体" w:cs="Times New Roman"/>
      <w:kern w:val="2"/>
      <w:sz w:val="18"/>
      <w:szCs w:val="18"/>
    </w:rPr>
  </w:style>
  <w:style w:type="character" w:customStyle="1" w:styleId="19">
    <w:name w:val="页脚 字符"/>
    <w:basedOn w:val="9"/>
    <w:link w:val="5"/>
    <w:semiHidden/>
    <w:qFormat/>
    <w:uiPriority w:val="99"/>
    <w:rPr>
      <w:rFonts w:ascii="Calibri" w:hAnsi="Calibri" w:eastAsia="宋体" w:cs="Times New Roman"/>
      <w:kern w:val="2"/>
      <w:sz w:val="18"/>
      <w:szCs w:val="18"/>
    </w:rPr>
  </w:style>
  <w:style w:type="character" w:customStyle="1" w:styleId="20">
    <w:name w:val="批注框文本 字符"/>
    <w:basedOn w:val="9"/>
    <w:link w:val="4"/>
    <w:semiHidden/>
    <w:qFormat/>
    <w:uiPriority w:val="99"/>
    <w:rPr>
      <w:rFonts w:ascii="Calibri" w:hAnsi="Calibri"/>
      <w:kern w:val="2"/>
      <w:sz w:val="18"/>
      <w:szCs w:val="18"/>
    </w:rPr>
  </w:style>
  <w:style w:type="character" w:customStyle="1" w:styleId="21">
    <w:name w:val="日期 字符"/>
    <w:basedOn w:val="9"/>
    <w:link w:val="3"/>
    <w:semiHidden/>
    <w:qFormat/>
    <w:uiPriority w:val="99"/>
    <w:rPr>
      <w:rFonts w:ascii="Calibri" w:hAnsi="Calibri"/>
      <w:kern w:val="2"/>
      <w:sz w:val="21"/>
      <w:szCs w:val="22"/>
    </w:rPr>
  </w:style>
  <w:style w:type="paragraph" w:customStyle="1" w:styleId="2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848</Words>
  <Characters>969</Characters>
  <Lines>12</Lines>
  <Paragraphs>3</Paragraphs>
  <TotalTime>0</TotalTime>
  <ScaleCrop>false</ScaleCrop>
  <LinksUpToDate>false</LinksUpToDate>
  <CharactersWithSpaces>1001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2023-02-20T08:47:00Z</cp:lastPrinted>
  <dcterms:modified xsi:type="dcterms:W3CDTF">2023-04-18T08:47:45Z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9328FECDDEDF4E3090C674A4B7B2E422</vt:lpwstr>
  </property>
</Properties>
</file>