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400" w:lineRule="exact"/>
        <w:rPr>
          <w:rFonts w:ascii="Times New Roman" w:hAnsi="Times New Roman" w:eastAsia="仿宋_GB2312"/>
          <w:sz w:val="32"/>
          <w:szCs w:val="32"/>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伊财预﹝202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号</w:t>
      </w:r>
    </w:p>
    <w:p>
      <w:pPr>
        <w:spacing w:line="40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4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伊川县财政局</w:t>
      </w:r>
    </w:p>
    <w:p>
      <w:pPr>
        <w:widowControl w:val="0"/>
        <w:wordWrap/>
        <w:adjustRightInd/>
        <w:snapToGrid/>
        <w:spacing w:line="570" w:lineRule="exact"/>
        <w:jc w:val="center"/>
        <w:textAlignment w:val="auto"/>
        <w:rPr>
          <w:rFonts w:hint="eastAsia" w:ascii="方正大标宋简体" w:hAnsi="宋体" w:eastAsia="方正大标宋简体"/>
          <w:sz w:val="44"/>
          <w:szCs w:val="44"/>
          <w:lang w:val="en-US" w:eastAsia="zh-CN"/>
        </w:rPr>
      </w:pP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sz w:val="44"/>
          <w:szCs w:val="44"/>
          <w:lang w:eastAsia="zh-CN"/>
        </w:rPr>
        <w:t>收回</w:t>
      </w:r>
      <w:r>
        <w:rPr>
          <w:rFonts w:hint="eastAsia" w:ascii="方正小标宋简体" w:hAnsi="方正小标宋简体" w:eastAsia="方正小标宋简体" w:cs="方正小标宋简体"/>
          <w:b w:val="0"/>
          <w:bCs/>
          <w:spacing w:val="10"/>
          <w:sz w:val="44"/>
          <w:szCs w:val="44"/>
          <w:lang w:val="en-US" w:eastAsia="zh-CN"/>
        </w:rPr>
        <w:t>伊川县白元镇王耆店村互助金等项目资金</w:t>
      </w:r>
      <w:r>
        <w:rPr>
          <w:rFonts w:hint="eastAsia" w:ascii="方正大标宋简体" w:hAnsi="宋体" w:eastAsia="方正大标宋简体"/>
          <w:sz w:val="44"/>
          <w:szCs w:val="44"/>
          <w:lang w:val="en-US" w:eastAsia="zh-CN"/>
        </w:rPr>
        <w:t>暨下达2022年第二十批衔接推进乡村振兴</w:t>
      </w:r>
      <w:r>
        <w:rPr>
          <w:rFonts w:hint="eastAsia" w:ascii="方正小标宋简体" w:hAnsi="Times New Roman" w:eastAsia="方正小标宋简体"/>
          <w:bCs/>
          <w:spacing w:val="10"/>
          <w:sz w:val="44"/>
          <w:szCs w:val="44"/>
          <w:lang w:eastAsia="zh-CN"/>
        </w:rPr>
        <w:t>资</w:t>
      </w:r>
      <w:r>
        <w:rPr>
          <w:rFonts w:hint="eastAsia" w:ascii="方正小标宋简体" w:hAnsi="黑体" w:eastAsia="方正小标宋简体" w:cs="黑体"/>
          <w:sz w:val="44"/>
          <w:szCs w:val="44"/>
          <w:lang w:eastAsia="zh-CN"/>
        </w:rPr>
        <w:t>金</w:t>
      </w:r>
      <w:r>
        <w:rPr>
          <w:rFonts w:hint="eastAsia" w:ascii="方正大标宋简体" w:hAnsi="宋体" w:eastAsia="方正大标宋简体"/>
          <w:sz w:val="44"/>
          <w:szCs w:val="44"/>
          <w:lang w:val="en-US" w:eastAsia="zh-CN"/>
        </w:rPr>
        <w:t>的通知</w:t>
      </w:r>
    </w:p>
    <w:p>
      <w:pPr>
        <w:spacing w:line="598" w:lineRule="exact"/>
        <w:rPr>
          <w:rFonts w:ascii="Times New Roman" w:hAnsi="Times New Roman" w:eastAsia="方正小标宋简体"/>
          <w:sz w:val="44"/>
          <w:szCs w:val="44"/>
        </w:rPr>
      </w:pPr>
      <w:bookmarkStart w:id="0" w:name="_GoBack"/>
      <w:bookmarkEnd w:id="0"/>
    </w:p>
    <w:p>
      <w:pPr>
        <w:widowControl w:val="0"/>
        <w:wordWrap/>
        <w:adjustRightInd/>
        <w:snapToGrid/>
        <w:spacing w:line="660" w:lineRule="exact"/>
        <w:ind w:left="0" w:leftChars="0" w:right="0"/>
        <w:textAlignment w:val="auto"/>
        <w:outlineLvl w:val="9"/>
        <w:rPr>
          <w:rFonts w:hint="eastAsia" w:ascii="Times New Roman" w:hAnsi="仿宋_GB2312" w:eastAsia="仿宋_GB2312"/>
          <w:b/>
          <w:bCs/>
          <w:sz w:val="32"/>
          <w:szCs w:val="32"/>
          <w:lang w:val="en-US" w:eastAsia="zh-CN"/>
        </w:rPr>
      </w:pPr>
      <w:r>
        <w:rPr>
          <w:rFonts w:hint="eastAsia" w:ascii="Times New Roman" w:hAnsi="仿宋_GB2312" w:eastAsia="仿宋_GB2312"/>
          <w:b/>
          <w:bCs/>
          <w:sz w:val="32"/>
          <w:szCs w:val="32"/>
          <w:lang w:eastAsia="zh-CN"/>
        </w:rPr>
        <w:t>县农业农村局、</w:t>
      </w:r>
      <w:r>
        <w:rPr>
          <w:rFonts w:hint="eastAsia" w:ascii="Times New Roman" w:hAnsi="仿宋_GB2312" w:eastAsia="仿宋_GB2312"/>
          <w:b/>
          <w:bCs/>
          <w:sz w:val="32"/>
          <w:szCs w:val="32"/>
          <w:lang w:val="en-US" w:eastAsia="zh-CN"/>
        </w:rPr>
        <w:t>葛寨镇、鸣皋镇、白元镇、江左镇：</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领导小组关于</w:t>
      </w:r>
      <w:r>
        <w:rPr>
          <w:rFonts w:hint="eastAsia" w:ascii="仿宋_GB2312" w:hAnsi="仿宋_GB2312" w:eastAsia="仿宋_GB2312" w:cs="仿宋_GB2312"/>
          <w:sz w:val="32"/>
          <w:szCs w:val="32"/>
          <w:lang w:eastAsia="zh-CN"/>
        </w:rPr>
        <w:t>收回</w:t>
      </w:r>
      <w:r>
        <w:rPr>
          <w:rFonts w:hint="eastAsia" w:ascii="仿宋_GB2312" w:hAnsi="仿宋_GB2312" w:eastAsia="仿宋_GB2312" w:cs="仿宋_GB2312"/>
          <w:sz w:val="32"/>
          <w:szCs w:val="32"/>
          <w:lang w:val="en-US" w:eastAsia="zh-CN"/>
        </w:rPr>
        <w:t>伊川县白元镇王耆店村互助金等项目资金的批复</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关于下达2022年伊川县葛寨镇京东农场产业灌溉</w:t>
      </w:r>
      <w:r>
        <w:rPr>
          <w:rFonts w:hint="eastAsia" w:ascii="仿宋_GB2312" w:hAnsi="仿宋_GB2312" w:eastAsia="仿宋_GB2312" w:cs="仿宋_GB2312"/>
          <w:sz w:val="32"/>
          <w:szCs w:val="32"/>
          <w:lang w:val="en-US" w:eastAsia="zh-CN"/>
        </w:rPr>
        <w:t>等项目资金分配意见</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125</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w:t>
      </w:r>
      <w:r>
        <w:rPr>
          <w:rFonts w:hint="eastAsia" w:ascii="仿宋" w:hAnsi="仿宋" w:eastAsia="仿宋" w:cs="仿宋"/>
          <w:color w:val="000000"/>
          <w:sz w:val="32"/>
          <w:szCs w:val="32"/>
          <w:lang w:val="en-US" w:eastAsia="zh-CN"/>
        </w:rPr>
        <w:t>将453000元予以收回，将</w:t>
      </w:r>
      <w:r>
        <w:rPr>
          <w:rFonts w:hint="eastAsia" w:ascii="仿宋_GB2312" w:hAnsi="仿宋_GB2312" w:eastAsia="仿宋_GB2312" w:cs="仿宋_GB2312"/>
          <w:sz w:val="32"/>
          <w:szCs w:val="32"/>
          <w:lang w:val="en-US" w:eastAsia="zh-CN"/>
        </w:rPr>
        <w:t>2421362.03元</w:t>
      </w:r>
      <w:r>
        <w:rPr>
          <w:rFonts w:hint="eastAsia" w:ascii="仿宋" w:hAnsi="仿宋" w:eastAsia="仿宋" w:cs="仿宋"/>
          <w:color w:val="000000"/>
          <w:sz w:val="32"/>
          <w:szCs w:val="32"/>
          <w:lang w:val="en-US" w:eastAsia="zh-CN"/>
        </w:rPr>
        <w:t>予以下达，</w:t>
      </w:r>
      <w:r>
        <w:rPr>
          <w:rFonts w:hint="eastAsia" w:ascii="仿宋_GB2312" w:hAnsi="仿宋_GB2312" w:eastAsia="仿宋_GB2312" w:cs="仿宋_GB2312"/>
          <w:sz w:val="32"/>
          <w:szCs w:val="32"/>
        </w:rPr>
        <w:t>具体如下：</w:t>
      </w:r>
    </w:p>
    <w:p>
      <w:pPr>
        <w:numPr>
          <w:ilvl w:val="0"/>
          <w:numId w:val="1"/>
        </w:numPr>
        <w:spacing w:line="580" w:lineRule="exact"/>
        <w:ind w:firstLine="640" w:firstLineChars="200"/>
        <w:rPr>
          <w:rFonts w:hint="eastAsia" w:ascii="仿宋" w:hAnsi="仿宋" w:eastAsia="仿宋" w:cs="仿宋"/>
          <w:bCs/>
          <w:sz w:val="32"/>
          <w:szCs w:val="32"/>
          <w:lang w:val="en-US" w:eastAsia="zh-CN"/>
        </w:rPr>
      </w:pPr>
      <w:r>
        <w:rPr>
          <w:rFonts w:hint="eastAsia" w:ascii="Times New Roman" w:hAnsi="Times New Roman" w:eastAsia="仿宋_GB2312" w:cs="仿宋_GB2312"/>
          <w:sz w:val="32"/>
          <w:szCs w:val="32"/>
          <w:lang w:eastAsia="zh-CN"/>
        </w:rPr>
        <w:t>收回</w:t>
      </w:r>
      <w:r>
        <w:rPr>
          <w:rFonts w:hint="eastAsia" w:ascii="Times New Roman" w:hAnsi="Times New Roman" w:eastAsia="仿宋_GB2312" w:cs="仿宋_GB2312"/>
          <w:sz w:val="32"/>
          <w:szCs w:val="32"/>
          <w:lang w:val="en-US" w:eastAsia="zh-CN"/>
        </w:rPr>
        <w:t>伊川县白元镇王耆店村互助金等项目资金</w:t>
      </w:r>
      <w:r>
        <w:rPr>
          <w:rFonts w:hint="eastAsia" w:ascii="仿宋" w:hAnsi="仿宋" w:eastAsia="仿宋" w:cs="仿宋"/>
          <w:color w:val="000000"/>
          <w:sz w:val="32"/>
          <w:szCs w:val="32"/>
          <w:lang w:val="en-US" w:eastAsia="zh-CN"/>
        </w:rPr>
        <w:t>453000元。</w:t>
      </w:r>
      <w:r>
        <w:rPr>
          <w:rFonts w:hint="eastAsia" w:ascii="Times New Roman" w:hAnsi="仿宋_GB2312" w:eastAsia="仿宋_GB2312"/>
          <w:sz w:val="32"/>
          <w:szCs w:val="32"/>
          <w:lang w:val="en-US" w:eastAsia="zh-CN"/>
        </w:rPr>
        <w:t>（详见附表1）</w:t>
      </w:r>
    </w:p>
    <w:p>
      <w:pPr>
        <w:numPr>
          <w:ilvl w:val="0"/>
          <w:numId w:val="1"/>
        </w:numPr>
        <w:spacing w:line="580" w:lineRule="exact"/>
        <w:ind w:firstLine="640" w:firstLineChars="200"/>
        <w:rPr>
          <w:rFonts w:hint="eastAsia" w:ascii="仿宋" w:hAnsi="仿宋" w:eastAsia="仿宋" w:cs="仿宋"/>
          <w:bCs/>
          <w:sz w:val="32"/>
          <w:szCs w:val="32"/>
          <w:lang w:val="en-US" w:eastAsia="zh-CN"/>
        </w:rPr>
      </w:pPr>
      <w:r>
        <w:rPr>
          <w:rFonts w:hint="eastAsia" w:ascii="仿宋_GB2312" w:hAnsi="仿宋_GB2312" w:eastAsia="仿宋_GB2312" w:cs="仿宋_GB2312"/>
          <w:sz w:val="32"/>
          <w:szCs w:val="32"/>
          <w:lang w:eastAsia="zh-CN"/>
        </w:rPr>
        <w:t>下达2022年伊川县葛寨镇京东农场产业灌溉</w:t>
      </w:r>
      <w:r>
        <w:rPr>
          <w:rFonts w:hint="eastAsia" w:ascii="仿宋_GB2312" w:hAnsi="仿宋_GB2312" w:eastAsia="仿宋_GB2312" w:cs="仿宋_GB2312"/>
          <w:sz w:val="32"/>
          <w:szCs w:val="32"/>
          <w:lang w:val="en-US" w:eastAsia="zh-CN"/>
        </w:rPr>
        <w:t>等项目资金2421362.03</w:t>
      </w:r>
      <w:r>
        <w:rPr>
          <w:rFonts w:hint="eastAsia" w:ascii="仿宋" w:hAnsi="仿宋" w:eastAsia="仿宋" w:cs="仿宋"/>
          <w:color w:val="000000"/>
          <w:sz w:val="32"/>
          <w:szCs w:val="32"/>
          <w:lang w:val="en-US" w:eastAsia="zh-CN"/>
        </w:rPr>
        <w:t>元</w:t>
      </w:r>
      <w:r>
        <w:rPr>
          <w:rFonts w:hint="eastAsia" w:ascii="仿宋_GB2312" w:hAnsi="仿宋_GB2312" w:eastAsia="仿宋_GB2312" w:cs="仿宋_GB2312"/>
          <w:sz w:val="32"/>
          <w:szCs w:val="32"/>
          <w:lang w:val="en-US" w:eastAsia="zh-CN"/>
        </w:rPr>
        <w:t>。</w:t>
      </w:r>
      <w:r>
        <w:rPr>
          <w:rFonts w:hint="eastAsia" w:ascii="Times New Roman" w:hAnsi="仿宋_GB2312" w:eastAsia="仿宋_GB2312"/>
          <w:sz w:val="32"/>
          <w:szCs w:val="32"/>
          <w:lang w:val="en-US" w:eastAsia="zh-CN"/>
        </w:rPr>
        <w:t>（详见附表2）</w:t>
      </w:r>
    </w:p>
    <w:p>
      <w:pPr>
        <w:numPr>
          <w:ilvl w:val="0"/>
          <w:numId w:val="0"/>
        </w:numPr>
        <w:spacing w:line="580" w:lineRule="exact"/>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三、根据《关于印发伊川县开展整合使用财政涉农资金实施办法的通知》（伊政办[2016]68号）规定，本次下达的统筹整合资金列入2022政府收支科目“21305扶贫”科目。县农业农村局、葛寨镇、鸣皋镇、白元镇、江左镇</w:t>
      </w:r>
      <w:r>
        <w:rPr>
          <w:rFonts w:hint="eastAsia" w:ascii="仿宋_GB2312" w:hAnsi="仿宋_GB2312" w:eastAsia="仿宋_GB2312" w:cs="仿宋_GB2312"/>
          <w:b w:val="0"/>
          <w:bCs w:val="0"/>
          <w:sz w:val="32"/>
          <w:szCs w:val="32"/>
          <w:lang w:eastAsia="zh-CN"/>
        </w:rPr>
        <w:t>要</w:t>
      </w:r>
      <w:r>
        <w:rPr>
          <w:rFonts w:hint="eastAsia" w:ascii="仿宋" w:hAnsi="仿宋" w:eastAsia="仿宋" w:cs="仿宋"/>
          <w:bCs/>
          <w:sz w:val="32"/>
          <w:szCs w:val="32"/>
          <w:lang w:val="en-US" w:eastAsia="zh-CN"/>
        </w:rPr>
        <w:t>严格按照县巩固拓展脱贫攻坚成果领导小组要求和《河南省财政厅 河南省审计厅 河南省扶贫开发办公室关于印发&lt;关于加强扶贫资金监管的意见&gt;的通知》（豫财农[2017]65号）、《河南省扶贫资金项目公告公示制度》（豫扶贫办[2017]129号）、《洛阳市财政局、洛阳市扶贫办关于印发优化扶贫项目管理流程加快资金拨付进度若干政策措施的通知》（洛财办[2017]12号）、《伊川县人民政府办公室关于修订伊川县统筹整合使用财政涉农资金管理办法的通知》（伊政办[2017]90号）、《伊川县脱贫攻坚领导小组关于进一步强化财政扶贫项目管理促进资金拨付有关事项的通知》（伊脱贫组[2018]141号）等规定执行，加强资金监管，确保专款专用。</w:t>
      </w:r>
    </w:p>
    <w:p>
      <w:pPr>
        <w:numPr>
          <w:ilvl w:val="0"/>
          <w:numId w:val="0"/>
        </w:numPr>
        <w:spacing w:line="580" w:lineRule="exact"/>
        <w:ind w:firstLine="640" w:firstLineChars="200"/>
        <w:rPr>
          <w:rFonts w:hint="eastAsia" w:ascii="仿宋_GB2312" w:hAnsi="仿宋_GB2312" w:eastAsia="仿宋_GB2312" w:cs="仿宋_GB2312"/>
          <w:bCs/>
          <w:sz w:val="32"/>
          <w:szCs w:val="32"/>
          <w:lang w:val="en-US" w:eastAsia="zh-CN"/>
        </w:rPr>
      </w:pPr>
      <w:r>
        <w:rPr>
          <w:rFonts w:hint="eastAsia" w:ascii="仿宋" w:hAnsi="仿宋" w:eastAsia="仿宋" w:cs="仿宋"/>
          <w:bCs/>
          <w:sz w:val="32"/>
          <w:szCs w:val="32"/>
          <w:lang w:val="en-US" w:eastAsia="zh-CN"/>
        </w:rPr>
        <w:t>四、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spacing w:line="580" w:lineRule="exact"/>
        <w:rPr>
          <w:rFonts w:ascii="仿宋_GB2312" w:hAnsi="仿宋_GB2312" w:eastAsia="仿宋_GB2312" w:cs="仿宋_GB2312"/>
          <w:b w:val="0"/>
          <w:bCs/>
          <w:sz w:val="32"/>
          <w:szCs w:val="32"/>
        </w:rPr>
      </w:pPr>
    </w:p>
    <w:p>
      <w:pPr>
        <w:pStyle w:val="10"/>
        <w:jc w:val="both"/>
        <w:rPr>
          <w:rFonts w:hint="eastAsia" w:ascii="仿宋_GB2312" w:hAnsi="仿宋_GB2312" w:eastAsia="仿宋_GB2312" w:cs="仿宋_GB2312"/>
          <w:b/>
          <w:sz w:val="32"/>
          <w:szCs w:val="32"/>
        </w:rPr>
      </w:pPr>
    </w:p>
    <w:p>
      <w:pPr>
        <w:pStyle w:val="10"/>
        <w:jc w:val="both"/>
        <w:rPr>
          <w:rFonts w:hint="eastAsia" w:ascii="仿宋_GB2312" w:hAnsi="仿宋_GB2312" w:eastAsia="仿宋_GB2312" w:cs="仿宋_GB2312"/>
          <w:b/>
          <w:sz w:val="32"/>
          <w:szCs w:val="32"/>
        </w:rPr>
      </w:pPr>
    </w:p>
    <w:p>
      <w:pPr>
        <w:pStyle w:val="1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rPr>
        <w:t>附件1：</w:t>
      </w:r>
      <w:r>
        <w:rPr>
          <w:rFonts w:hint="eastAsia" w:ascii="Times New Roman" w:hAnsi="Times New Roman" w:eastAsia="仿宋_GB2312" w:cs="仿宋_GB2312"/>
          <w:sz w:val="32"/>
          <w:szCs w:val="32"/>
          <w:lang w:val="en-US" w:eastAsia="zh-CN"/>
        </w:rPr>
        <w:t>伊川县白元镇王耆店村互助金等项目资金</w:t>
      </w:r>
      <w:r>
        <w:rPr>
          <w:rFonts w:hint="eastAsia" w:ascii="仿宋_GB2312" w:hAnsi="仿宋_GB2312" w:eastAsia="仿宋_GB2312" w:cs="仿宋_GB2312"/>
          <w:bCs/>
          <w:sz w:val="32"/>
          <w:szCs w:val="32"/>
        </w:rPr>
        <w:t>收回明细表</w:t>
      </w:r>
    </w:p>
    <w:p>
      <w:pPr>
        <w:pStyle w:val="10"/>
        <w:rPr>
          <w:rFonts w:hint="default" w:eastAsia="仿宋_GB2312"/>
          <w:lang w:val="en-US" w:eastAsia="zh-CN"/>
        </w:rPr>
      </w:pPr>
      <w:r>
        <w:rPr>
          <w:rFonts w:hint="eastAsia" w:ascii="仿宋_GB2312" w:hAnsi="仿宋_GB2312" w:eastAsia="仿宋_GB2312" w:cs="仿宋_GB2312"/>
          <w:b/>
          <w:sz w:val="32"/>
          <w:szCs w:val="32"/>
        </w:rPr>
        <w:t>附件</w:t>
      </w: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w:t>
      </w:r>
      <w:r>
        <w:rPr>
          <w:rFonts w:hint="eastAsia" w:ascii="仿宋_GB2312" w:hAnsi="仿宋_GB2312" w:eastAsia="仿宋_GB2312" w:cs="仿宋_GB2312"/>
          <w:bCs/>
          <w:sz w:val="32"/>
          <w:szCs w:val="32"/>
          <w:lang w:val="en-US" w:eastAsia="zh-CN"/>
        </w:rPr>
        <w:t>2022年第二十批衔接资金项目分配表</w:t>
      </w:r>
    </w:p>
    <w:p>
      <w:pPr>
        <w:pStyle w:val="10"/>
        <w:jc w:val="both"/>
        <w:rPr>
          <w:rFonts w:hint="eastAsia" w:ascii="仿宋_GB2312" w:hAnsi="仿宋_GB2312" w:eastAsia="仿宋_GB2312" w:cs="仿宋_GB2312"/>
          <w:b w:val="0"/>
          <w:bCs/>
          <w:sz w:val="32"/>
          <w:szCs w:val="32"/>
          <w:lang w:val="en-US" w:eastAsia="zh-CN"/>
        </w:rPr>
      </w:pPr>
    </w:p>
    <w:p>
      <w:pPr>
        <w:pStyle w:val="10"/>
        <w:rPr>
          <w:rFonts w:hint="eastAsia"/>
        </w:rPr>
      </w:pPr>
    </w:p>
    <w:p>
      <w:pPr>
        <w:pStyle w:val="10"/>
        <w:rPr>
          <w:rFonts w:hint="default" w:eastAsia="仿宋_GB2312"/>
          <w:b w:val="0"/>
          <w:bCs/>
          <w:lang w:val="en-US" w:eastAsia="zh-CN"/>
        </w:rPr>
      </w:pPr>
      <w:r>
        <w:rPr>
          <w:rFonts w:hint="eastAsia" w:ascii="仿宋_GB2312" w:hAnsi="仿宋_GB2312" w:eastAsia="仿宋_GB2312" w:cs="仿宋_GB2312"/>
          <w:bCs/>
          <w:sz w:val="32"/>
          <w:szCs w:val="32"/>
          <w:lang w:val="en-US" w:eastAsia="zh-CN"/>
        </w:rPr>
        <w:t xml:space="preserve">   </w:t>
      </w:r>
    </w:p>
    <w:p>
      <w:pPr>
        <w:spacing w:line="580" w:lineRule="exact"/>
        <w:ind w:firstLine="640" w:firstLineChars="200"/>
        <w:rPr>
          <w:rFonts w:ascii="仿宋_GB2312" w:hAnsi="仿宋_GB2312" w:eastAsia="仿宋_GB2312" w:cs="仿宋_GB2312"/>
          <w:sz w:val="32"/>
          <w:szCs w:val="32"/>
        </w:rPr>
      </w:pPr>
    </w:p>
    <w:p>
      <w:pPr>
        <w:pStyle w:val="10"/>
      </w:pPr>
    </w:p>
    <w:p>
      <w:pPr>
        <w:wordWrap w:val="0"/>
        <w:spacing w:line="580" w:lineRule="exact"/>
        <w:ind w:firstLine="640" w:firstLineChars="200"/>
        <w:jc w:val="right"/>
        <w:rPr>
          <w:rFonts w:ascii="仿宋_GB2312" w:hAnsi="仿宋_GB2312" w:eastAsia="仿宋_GB2312" w:cs="仿宋_GB2312"/>
          <w:sz w:val="32"/>
          <w:szCs w:val="32"/>
        </w:rPr>
      </w:pPr>
    </w:p>
    <w:p>
      <w:pPr>
        <w:spacing w:line="580" w:lineRule="exact"/>
        <w:ind w:right="32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ind w:firstLine="280" w:firstLineChars="100"/>
        <w:rPr>
          <w:rFonts w:hint="eastAsia" w:ascii="仿宋_GB2312" w:hAnsi="仿宋_GB2312" w:eastAsia="仿宋_GB2312" w:cs="仿宋_GB2312"/>
          <w:sz w:val="28"/>
          <w:szCs w:val="28"/>
        </w:rPr>
        <w:sectPr>
          <w:footerReference r:id="rId3" w:type="default"/>
          <w:pgSz w:w="11906" w:h="16838"/>
          <w:pgMar w:top="1984" w:right="1587" w:bottom="1701" w:left="1587" w:header="851" w:footer="1417" w:gutter="0"/>
          <w:pgNumType w:fmt="numberInDash"/>
          <w:cols w:space="720" w:num="1"/>
          <w:docGrid w:type="lines" w:linePitch="312" w:charSpace="0"/>
        </w:sectPr>
      </w:pPr>
    </w:p>
    <w:tbl>
      <w:tblPr>
        <w:tblStyle w:val="8"/>
        <w:tblpPr w:leftFromText="180" w:rightFromText="180" w:vertAnchor="text" w:horzAnchor="page" w:tblpX="1540" w:tblpY="12470"/>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48" w:type="dxa"/>
            <w:tcBorders>
              <w:tl2br w:val="nil"/>
              <w:tr2bl w:val="nil"/>
            </w:tcBorders>
            <w:vAlign w:val="top"/>
          </w:tcPr>
          <w:p>
            <w:pPr>
              <w:ind w:firstLine="280" w:firstLineChars="100"/>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伊川县财政局办公室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rPr>
              <w:t>日印发</w:t>
            </w:r>
          </w:p>
        </w:tc>
      </w:tr>
    </w:tbl>
    <w:p>
      <w:pPr>
        <w:spacing w:line="578" w:lineRule="exact"/>
        <w:rPr>
          <w:rFonts w:ascii="仿宋_GB2312" w:hAnsi="仿宋_GB2312" w:eastAsia="仿宋_GB2312" w:cs="仿宋_GB2312"/>
          <w:sz w:val="32"/>
          <w:szCs w:val="32"/>
        </w:rPr>
      </w:pPr>
    </w:p>
    <w:sectPr>
      <w:footerReference r:id="rId4" w:type="default"/>
      <w:pgSz w:w="11906" w:h="16838"/>
      <w:pgMar w:top="1984" w:right="1587" w:bottom="1701" w:left="1587"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文本框 3"/>
              <wp:cNvGraphicFramePr/>
              <a:graphic xmlns:a="http://schemas.openxmlformats.org/drawingml/2006/main">
                <a:graphicData uri="http://schemas.microsoft.com/office/word/2010/wordprocessingShape">
                  <wps:wsp>
                    <wps:cNvSpPr/>
                    <wps:spPr>
                      <a:xfrm>
                        <a:off x="0" y="0"/>
                        <a:ext cx="445135" cy="230505"/>
                      </a:xfrm>
                      <a:prstGeom prst="rect">
                        <a:avLst/>
                      </a:prstGeom>
                      <a:noFill/>
                      <a:ln>
                        <a:noFill/>
                      </a:ln>
                    </wps:spPr>
                    <wps:txbx>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rect id="文本框 3" o:spid="_x0000_s1026" o:spt="1"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lI2s0gAAAAMBAAAPAAAAAAAAAAEAIAAAACIAAABkcnMvZG93bnJldi54&#10;bWxQSwECFAAUAAAACACHTuJANEf0nccBAACNAwAADgAAAAAAAAABACAAAAAhAQAAZHJzL2Uyb0Rv&#10;Yy54bWxQSwUGAAAAAAYABgBZAQAAWgUAAAAA&#10;">
              <v:fill on="f" focussize="0,0"/>
              <v:stroke on="f"/>
              <v:imagedata o:title=""/>
              <o:lock v:ext="edit" aspectratio="f"/>
              <v:textbox inset="0mm,0mm,0mm,0mm" style="mso-fit-shape-to-text:t;">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334FF0"/>
    <w:multiLevelType w:val="singleLevel"/>
    <w:tmpl w:val="77334FF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kZTQ5OTBhMTkzYjVkMDllYzAyYTFhM2MwMDQyMWUifQ=="/>
  </w:docVars>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1CC7C92"/>
    <w:rsid w:val="01F41264"/>
    <w:rsid w:val="021F07B1"/>
    <w:rsid w:val="02754D72"/>
    <w:rsid w:val="030A41F8"/>
    <w:rsid w:val="037C583F"/>
    <w:rsid w:val="03B6348F"/>
    <w:rsid w:val="04693C4E"/>
    <w:rsid w:val="047848CB"/>
    <w:rsid w:val="048309CA"/>
    <w:rsid w:val="04904FA7"/>
    <w:rsid w:val="04AE18D1"/>
    <w:rsid w:val="0569577F"/>
    <w:rsid w:val="05B42E9A"/>
    <w:rsid w:val="05DD1F2C"/>
    <w:rsid w:val="066761DB"/>
    <w:rsid w:val="06FE6B3F"/>
    <w:rsid w:val="07927288"/>
    <w:rsid w:val="07F94CD8"/>
    <w:rsid w:val="080518B2"/>
    <w:rsid w:val="08176D67"/>
    <w:rsid w:val="089B6424"/>
    <w:rsid w:val="08C23B9D"/>
    <w:rsid w:val="099B3D15"/>
    <w:rsid w:val="0A7902E7"/>
    <w:rsid w:val="0A9633BE"/>
    <w:rsid w:val="0B1F04F1"/>
    <w:rsid w:val="0D2349E0"/>
    <w:rsid w:val="0D884570"/>
    <w:rsid w:val="0DEB1355"/>
    <w:rsid w:val="0DFA5B87"/>
    <w:rsid w:val="0DFB4B3D"/>
    <w:rsid w:val="0F001EEA"/>
    <w:rsid w:val="0F1D075A"/>
    <w:rsid w:val="0F7871F8"/>
    <w:rsid w:val="0FC64F44"/>
    <w:rsid w:val="10022AD1"/>
    <w:rsid w:val="10E072B6"/>
    <w:rsid w:val="11896889"/>
    <w:rsid w:val="129760A8"/>
    <w:rsid w:val="1298748F"/>
    <w:rsid w:val="129C23D2"/>
    <w:rsid w:val="13163094"/>
    <w:rsid w:val="137B303F"/>
    <w:rsid w:val="142D0D9F"/>
    <w:rsid w:val="145232C8"/>
    <w:rsid w:val="148937C0"/>
    <w:rsid w:val="14F50DA4"/>
    <w:rsid w:val="14F70077"/>
    <w:rsid w:val="15C12D1A"/>
    <w:rsid w:val="16264B28"/>
    <w:rsid w:val="166B776B"/>
    <w:rsid w:val="16A43751"/>
    <w:rsid w:val="17E11EA2"/>
    <w:rsid w:val="187D2767"/>
    <w:rsid w:val="18B403CE"/>
    <w:rsid w:val="19692900"/>
    <w:rsid w:val="1A986F4F"/>
    <w:rsid w:val="1B627B13"/>
    <w:rsid w:val="1C1A6D3B"/>
    <w:rsid w:val="1D141803"/>
    <w:rsid w:val="1D70551D"/>
    <w:rsid w:val="1D8820D5"/>
    <w:rsid w:val="1DCA77B8"/>
    <w:rsid w:val="1DE33F41"/>
    <w:rsid w:val="1ECC38EA"/>
    <w:rsid w:val="1F0A1899"/>
    <w:rsid w:val="1F2F403C"/>
    <w:rsid w:val="1F882FF2"/>
    <w:rsid w:val="204F313A"/>
    <w:rsid w:val="205F59D0"/>
    <w:rsid w:val="21024E0E"/>
    <w:rsid w:val="21DE339D"/>
    <w:rsid w:val="21E64E17"/>
    <w:rsid w:val="229121BE"/>
    <w:rsid w:val="23067BC1"/>
    <w:rsid w:val="239105D5"/>
    <w:rsid w:val="23D30843"/>
    <w:rsid w:val="24763D61"/>
    <w:rsid w:val="24B84154"/>
    <w:rsid w:val="24ED38F7"/>
    <w:rsid w:val="267E061F"/>
    <w:rsid w:val="27692073"/>
    <w:rsid w:val="27740131"/>
    <w:rsid w:val="28A57EEE"/>
    <w:rsid w:val="28BE7A85"/>
    <w:rsid w:val="29F35969"/>
    <w:rsid w:val="29FD638B"/>
    <w:rsid w:val="2B04264B"/>
    <w:rsid w:val="2B6C1A1A"/>
    <w:rsid w:val="2BCB379A"/>
    <w:rsid w:val="2BD338DE"/>
    <w:rsid w:val="2BEB1FDF"/>
    <w:rsid w:val="2C030CFD"/>
    <w:rsid w:val="2C927B50"/>
    <w:rsid w:val="2DA72612"/>
    <w:rsid w:val="2DB63A39"/>
    <w:rsid w:val="2DF87595"/>
    <w:rsid w:val="2E163979"/>
    <w:rsid w:val="2E24646E"/>
    <w:rsid w:val="2F524B24"/>
    <w:rsid w:val="2FF81ACE"/>
    <w:rsid w:val="3068486C"/>
    <w:rsid w:val="312B7C81"/>
    <w:rsid w:val="318F119B"/>
    <w:rsid w:val="323A3FB6"/>
    <w:rsid w:val="33153920"/>
    <w:rsid w:val="3324010F"/>
    <w:rsid w:val="3353526D"/>
    <w:rsid w:val="341D71AA"/>
    <w:rsid w:val="345B70DA"/>
    <w:rsid w:val="34DF5286"/>
    <w:rsid w:val="35001667"/>
    <w:rsid w:val="36C724BE"/>
    <w:rsid w:val="370B28B9"/>
    <w:rsid w:val="378679C0"/>
    <w:rsid w:val="37CF2046"/>
    <w:rsid w:val="381C1B99"/>
    <w:rsid w:val="384D4981"/>
    <w:rsid w:val="38940F06"/>
    <w:rsid w:val="38F202B5"/>
    <w:rsid w:val="39673821"/>
    <w:rsid w:val="3AE77773"/>
    <w:rsid w:val="3B4344F4"/>
    <w:rsid w:val="3B9921EB"/>
    <w:rsid w:val="3BCD2D43"/>
    <w:rsid w:val="3C4A67EF"/>
    <w:rsid w:val="3C7F4645"/>
    <w:rsid w:val="3D2D77FD"/>
    <w:rsid w:val="3D2E2FD3"/>
    <w:rsid w:val="3D7A7FC6"/>
    <w:rsid w:val="3E8C7CDA"/>
    <w:rsid w:val="3EA33A1A"/>
    <w:rsid w:val="3EA61729"/>
    <w:rsid w:val="3EE50AEA"/>
    <w:rsid w:val="3FC71C76"/>
    <w:rsid w:val="40663F04"/>
    <w:rsid w:val="407F62A0"/>
    <w:rsid w:val="40890521"/>
    <w:rsid w:val="40CD415E"/>
    <w:rsid w:val="410305B7"/>
    <w:rsid w:val="41173D1A"/>
    <w:rsid w:val="41903CF6"/>
    <w:rsid w:val="422C5607"/>
    <w:rsid w:val="428C3121"/>
    <w:rsid w:val="42A41642"/>
    <w:rsid w:val="433810BE"/>
    <w:rsid w:val="435412BA"/>
    <w:rsid w:val="43A81EEE"/>
    <w:rsid w:val="440920A4"/>
    <w:rsid w:val="444035EC"/>
    <w:rsid w:val="45284B01"/>
    <w:rsid w:val="454C762D"/>
    <w:rsid w:val="45674829"/>
    <w:rsid w:val="459E1E59"/>
    <w:rsid w:val="47523D62"/>
    <w:rsid w:val="475923DC"/>
    <w:rsid w:val="47975C19"/>
    <w:rsid w:val="48BC05C2"/>
    <w:rsid w:val="49A62143"/>
    <w:rsid w:val="4A3C7922"/>
    <w:rsid w:val="4AA20B5D"/>
    <w:rsid w:val="4ACD636B"/>
    <w:rsid w:val="4B4A399F"/>
    <w:rsid w:val="4B5767AE"/>
    <w:rsid w:val="4C2872FD"/>
    <w:rsid w:val="4D0D37E8"/>
    <w:rsid w:val="4D0F442E"/>
    <w:rsid w:val="4DB17948"/>
    <w:rsid w:val="4E410F19"/>
    <w:rsid w:val="4EAD6F8E"/>
    <w:rsid w:val="4F413A95"/>
    <w:rsid w:val="4F56410C"/>
    <w:rsid w:val="4FB02649"/>
    <w:rsid w:val="4FD24E5F"/>
    <w:rsid w:val="4FD75C47"/>
    <w:rsid w:val="516271A9"/>
    <w:rsid w:val="51840FBC"/>
    <w:rsid w:val="51967E34"/>
    <w:rsid w:val="51A96D1F"/>
    <w:rsid w:val="51C23892"/>
    <w:rsid w:val="51CA1FB1"/>
    <w:rsid w:val="52123A5A"/>
    <w:rsid w:val="521A071F"/>
    <w:rsid w:val="530572E6"/>
    <w:rsid w:val="53770FA7"/>
    <w:rsid w:val="537F35EC"/>
    <w:rsid w:val="538854FD"/>
    <w:rsid w:val="54B9105D"/>
    <w:rsid w:val="54E00A96"/>
    <w:rsid w:val="551548AB"/>
    <w:rsid w:val="55155786"/>
    <w:rsid w:val="557305CA"/>
    <w:rsid w:val="56081C71"/>
    <w:rsid w:val="56205006"/>
    <w:rsid w:val="565207EC"/>
    <w:rsid w:val="567D5FDA"/>
    <w:rsid w:val="59503A1A"/>
    <w:rsid w:val="59AB5A05"/>
    <w:rsid w:val="59BD32BD"/>
    <w:rsid w:val="5A3718A0"/>
    <w:rsid w:val="5B7025B1"/>
    <w:rsid w:val="5CD25094"/>
    <w:rsid w:val="5D3E5434"/>
    <w:rsid w:val="5D423C91"/>
    <w:rsid w:val="5D9B4FE1"/>
    <w:rsid w:val="5DC13144"/>
    <w:rsid w:val="5DF07810"/>
    <w:rsid w:val="5EBF0CE7"/>
    <w:rsid w:val="5F742670"/>
    <w:rsid w:val="5FC94439"/>
    <w:rsid w:val="5FF133E8"/>
    <w:rsid w:val="60187D0B"/>
    <w:rsid w:val="60864D7F"/>
    <w:rsid w:val="60984AEA"/>
    <w:rsid w:val="60C6611D"/>
    <w:rsid w:val="60CC64DC"/>
    <w:rsid w:val="60DF5FDA"/>
    <w:rsid w:val="61743760"/>
    <w:rsid w:val="61D373F6"/>
    <w:rsid w:val="61DC53E8"/>
    <w:rsid w:val="627B5AC3"/>
    <w:rsid w:val="62C642C8"/>
    <w:rsid w:val="62D741A0"/>
    <w:rsid w:val="634B1FF6"/>
    <w:rsid w:val="639A711C"/>
    <w:rsid w:val="63B22607"/>
    <w:rsid w:val="64F97173"/>
    <w:rsid w:val="6530669A"/>
    <w:rsid w:val="655B1BDC"/>
    <w:rsid w:val="65B448F1"/>
    <w:rsid w:val="66126EBF"/>
    <w:rsid w:val="667D4993"/>
    <w:rsid w:val="669E32AF"/>
    <w:rsid w:val="66D32D1F"/>
    <w:rsid w:val="67B457F0"/>
    <w:rsid w:val="67F97B02"/>
    <w:rsid w:val="68040309"/>
    <w:rsid w:val="696372B1"/>
    <w:rsid w:val="69C556DC"/>
    <w:rsid w:val="6A0675FC"/>
    <w:rsid w:val="6A5B6767"/>
    <w:rsid w:val="6A905171"/>
    <w:rsid w:val="6ABF405B"/>
    <w:rsid w:val="6B1F4868"/>
    <w:rsid w:val="6BC56001"/>
    <w:rsid w:val="6C3D028D"/>
    <w:rsid w:val="6C6A456F"/>
    <w:rsid w:val="6CBE13CE"/>
    <w:rsid w:val="6CF8086E"/>
    <w:rsid w:val="6D361187"/>
    <w:rsid w:val="6EA066E5"/>
    <w:rsid w:val="6EBD4ED6"/>
    <w:rsid w:val="6EDF492B"/>
    <w:rsid w:val="6FE54EC4"/>
    <w:rsid w:val="6FE81534"/>
    <w:rsid w:val="6FF95CCA"/>
    <w:rsid w:val="70F96038"/>
    <w:rsid w:val="710B095A"/>
    <w:rsid w:val="71B82978"/>
    <w:rsid w:val="720854ED"/>
    <w:rsid w:val="73593BFF"/>
    <w:rsid w:val="73E927EE"/>
    <w:rsid w:val="73ED1B12"/>
    <w:rsid w:val="74477EFB"/>
    <w:rsid w:val="7462740B"/>
    <w:rsid w:val="747252C4"/>
    <w:rsid w:val="7483352F"/>
    <w:rsid w:val="74AC5E7A"/>
    <w:rsid w:val="74F8638E"/>
    <w:rsid w:val="7513602F"/>
    <w:rsid w:val="756010C7"/>
    <w:rsid w:val="75621733"/>
    <w:rsid w:val="761E061B"/>
    <w:rsid w:val="76A2572F"/>
    <w:rsid w:val="76CF4937"/>
    <w:rsid w:val="77043E82"/>
    <w:rsid w:val="77094C32"/>
    <w:rsid w:val="77883F14"/>
    <w:rsid w:val="77BB2B47"/>
    <w:rsid w:val="78D76DD5"/>
    <w:rsid w:val="78FB231B"/>
    <w:rsid w:val="798A380F"/>
    <w:rsid w:val="79E61F64"/>
    <w:rsid w:val="7A344A7E"/>
    <w:rsid w:val="7A716B70"/>
    <w:rsid w:val="7C6D60C7"/>
    <w:rsid w:val="7CAE6CB7"/>
    <w:rsid w:val="7D622C5C"/>
    <w:rsid w:val="7D7C0783"/>
    <w:rsid w:val="7DD115D7"/>
    <w:rsid w:val="7E1A7890"/>
    <w:rsid w:val="7EC061BB"/>
    <w:rsid w:val="7EF90D73"/>
    <w:rsid w:val="7F0F5AB9"/>
    <w:rsid w:val="7FAC50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szCs w:val="24"/>
    </w:rPr>
  </w:style>
  <w:style w:type="paragraph" w:styleId="3">
    <w:name w:val="Date"/>
    <w:basedOn w:val="1"/>
    <w:next w:val="1"/>
    <w:link w:val="18"/>
    <w:unhideWhenUsed/>
    <w:qFormat/>
    <w:uiPriority w:val="99"/>
    <w:pPr>
      <w:ind w:left="100" w:leftChars="2500"/>
    </w:pPr>
  </w:style>
  <w:style w:type="paragraph" w:styleId="4">
    <w:name w:val="Balloon Text"/>
    <w:basedOn w:val="1"/>
    <w:link w:val="17"/>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BodyText"/>
    <w:basedOn w:val="1"/>
    <w:qFormat/>
    <w:uiPriority w:val="0"/>
    <w:pPr>
      <w:spacing w:after="120" w:line="240" w:lineRule="auto"/>
      <w:jc w:val="both"/>
    </w:pPr>
    <w:rPr>
      <w:rFonts w:ascii="Calibri" w:hAnsi="Calibri"/>
      <w:kern w:val="2"/>
      <w:sz w:val="21"/>
      <w:szCs w:val="24"/>
      <w:lang w:val="en-US" w:eastAsia="zh-CN" w:bidi="ar-SA"/>
    </w:rPr>
  </w:style>
  <w:style w:type="paragraph" w:customStyle="1" w:styleId="11">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paragraph" w:customStyle="1" w:styleId="12">
    <w:name w:val="reader-word-layer"/>
    <w:basedOn w:val="1"/>
    <w:qFormat/>
    <w:uiPriority w:val="0"/>
    <w:pPr>
      <w:widowControl/>
      <w:spacing w:before="100" w:beforeAutospacing="1" w:after="100" w:afterAutospacing="1"/>
    </w:pPr>
    <w:rPr>
      <w:rFonts w:ascii="宋体" w:hAnsi="宋体"/>
      <w:kern w:val="0"/>
      <w:sz w:val="24"/>
      <w:szCs w:val="24"/>
    </w:rPr>
  </w:style>
  <w:style w:type="paragraph" w:customStyle="1" w:styleId="13">
    <w:name w:val="列表段落1"/>
    <w:basedOn w:val="1"/>
    <w:qFormat/>
    <w:uiPriority w:val="99"/>
    <w:pPr>
      <w:ind w:firstLine="420" w:firstLineChars="200"/>
    </w:pPr>
  </w:style>
  <w:style w:type="paragraph" w:customStyle="1" w:styleId="14">
    <w:name w:val="列表段落2"/>
    <w:basedOn w:val="1"/>
    <w:qFormat/>
    <w:uiPriority w:val="99"/>
    <w:pPr>
      <w:ind w:firstLine="420" w:firstLineChars="200"/>
    </w:pPr>
  </w:style>
  <w:style w:type="character" w:customStyle="1" w:styleId="15">
    <w:name w:val="页眉 字符"/>
    <w:basedOn w:val="9"/>
    <w:link w:val="6"/>
    <w:qFormat/>
    <w:uiPriority w:val="99"/>
    <w:rPr>
      <w:rFonts w:ascii="Calibri" w:hAnsi="Calibri" w:eastAsia="宋体" w:cs="Times New Roman"/>
      <w:kern w:val="2"/>
      <w:sz w:val="18"/>
      <w:szCs w:val="18"/>
    </w:rPr>
  </w:style>
  <w:style w:type="character" w:customStyle="1" w:styleId="16">
    <w:name w:val="页脚 字符"/>
    <w:basedOn w:val="9"/>
    <w:link w:val="5"/>
    <w:semiHidden/>
    <w:qFormat/>
    <w:uiPriority w:val="99"/>
    <w:rPr>
      <w:rFonts w:ascii="Calibri" w:hAnsi="Calibri" w:eastAsia="宋体" w:cs="Times New Roman"/>
      <w:kern w:val="2"/>
      <w:sz w:val="18"/>
      <w:szCs w:val="18"/>
    </w:rPr>
  </w:style>
  <w:style w:type="character" w:customStyle="1" w:styleId="17">
    <w:name w:val="批注框文本 字符"/>
    <w:basedOn w:val="9"/>
    <w:link w:val="4"/>
    <w:semiHidden/>
    <w:qFormat/>
    <w:uiPriority w:val="99"/>
    <w:rPr>
      <w:rFonts w:ascii="Calibri" w:hAnsi="Calibri"/>
      <w:kern w:val="2"/>
      <w:sz w:val="18"/>
      <w:szCs w:val="18"/>
    </w:rPr>
  </w:style>
  <w:style w:type="character" w:customStyle="1" w:styleId="18">
    <w:name w:val="日期 字符"/>
    <w:basedOn w:val="9"/>
    <w:link w:val="3"/>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907</Words>
  <Characters>1020</Characters>
  <Lines>12</Lines>
  <Paragraphs>3</Paragraphs>
  <TotalTime>13</TotalTime>
  <ScaleCrop>false</ScaleCrop>
  <LinksUpToDate>false</LinksUpToDate>
  <CharactersWithSpaces>1047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搏美广告（2）</cp:lastModifiedBy>
  <cp:lastPrinted>2022-09-07T01:30:34Z</cp:lastPrinted>
  <dcterms:modified xsi:type="dcterms:W3CDTF">2022-09-07T01:42:38Z</dcterms:modified>
  <dc:title>伊财预﹝2022﹞27号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5F92E7A467E949D8BFB842AFE58B2AB5</vt:lpwstr>
  </property>
</Properties>
</file>