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小标宋简体"/>
          <w:sz w:val="44"/>
          <w:szCs w:val="44"/>
          <w:lang w:val="en-US" w:eastAsia="zh-CN"/>
        </w:rPr>
      </w:pPr>
      <w:r>
        <w:rPr>
          <w:rFonts w:hint="eastAsia" w:ascii="方正大标宋简体" w:hAnsi="宋体" w:eastAsia="方正大标宋简体"/>
          <w:sz w:val="44"/>
          <w:szCs w:val="44"/>
          <w:lang w:val="en-US" w:eastAsia="zh-CN"/>
        </w:rPr>
        <w:t>关于</w:t>
      </w:r>
      <w:r>
        <w:rPr>
          <w:rFonts w:hint="eastAsia" w:ascii="方正小标宋简体" w:hAnsi="方正小标宋简体" w:eastAsia="方正小标宋简体" w:cs="方正小标宋简体"/>
          <w:b w:val="0"/>
          <w:bCs w:val="0"/>
          <w:sz w:val="44"/>
          <w:szCs w:val="44"/>
          <w:lang w:eastAsia="zh-CN"/>
        </w:rPr>
        <w:t>收回</w:t>
      </w:r>
      <w:r>
        <w:rPr>
          <w:rFonts w:hint="eastAsia" w:ascii="方正小标宋简体" w:hAnsi="方正小标宋简体" w:eastAsia="方正小标宋简体" w:cs="方正小标宋简体"/>
          <w:b w:val="0"/>
          <w:bCs/>
          <w:spacing w:val="10"/>
          <w:sz w:val="44"/>
          <w:szCs w:val="44"/>
          <w:lang w:val="en-US" w:eastAsia="zh-CN"/>
        </w:rPr>
        <w:t>2022年伊川县江左镇江左村村集体经济发展等项目资金</w:t>
      </w:r>
      <w:r>
        <w:rPr>
          <w:rFonts w:hint="eastAsia" w:ascii="方正小标宋简体" w:hAnsi="黑体" w:eastAsia="方正小标宋简体" w:cs="黑体"/>
          <w:sz w:val="44"/>
          <w:szCs w:val="44"/>
          <w:lang w:eastAsia="zh-CN"/>
        </w:rPr>
        <w:t>暨</w:t>
      </w:r>
      <w:r>
        <w:rPr>
          <w:rFonts w:hint="eastAsia" w:ascii="方正大标宋简体" w:hAnsi="宋体" w:eastAsia="方正大标宋简体"/>
          <w:sz w:val="44"/>
          <w:szCs w:val="44"/>
          <w:lang w:val="en-US" w:eastAsia="zh-CN"/>
        </w:rPr>
        <w:t>下达2022年第十六批衔接推进乡村振兴</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w:t>
      </w:r>
      <w:r>
        <w:rPr>
          <w:rFonts w:hint="eastAsia" w:ascii="方正小标宋简体" w:hAnsi="方正小标宋简体" w:eastAsia="方正小标宋简体" w:cs="方正小标宋简体"/>
          <w:b w:val="0"/>
          <w:bCs/>
          <w:spacing w:val="10"/>
          <w:sz w:val="44"/>
          <w:szCs w:val="44"/>
          <w:lang w:val="en-US" w:eastAsia="zh-CN"/>
        </w:rPr>
        <w:t>的通知</w:t>
      </w:r>
    </w:p>
    <w:p>
      <w:pPr>
        <w:spacing w:line="580" w:lineRule="exact"/>
        <w:jc w:val="left"/>
        <w:rPr>
          <w:rFonts w:hint="eastAsia" w:ascii="仿宋_GB2312" w:hAnsi="仿宋_GB2312" w:eastAsia="仿宋_GB2312" w:cs="仿宋_GB2312"/>
          <w:b w:val="0"/>
          <w:bCs w:val="0"/>
          <w:sz w:val="32"/>
          <w:szCs w:val="32"/>
          <w:lang w:eastAsia="zh-CN"/>
        </w:rPr>
      </w:pPr>
    </w:p>
    <w:p>
      <w:pPr>
        <w:widowControl w:val="0"/>
        <w:wordWrap/>
        <w:adjustRightInd/>
        <w:snapToGrid/>
        <w:spacing w:line="560" w:lineRule="exact"/>
        <w:textAlignment w:val="auto"/>
        <w:rPr>
          <w:rFonts w:hint="default" w:ascii="Times New Roman" w:hAnsi="Times New Roman" w:eastAsia="仿宋_GB2312" w:cs="Times New Roman"/>
          <w:b w:val="0"/>
          <w:bCs w:val="0"/>
          <w:sz w:val="32"/>
          <w:szCs w:val="32"/>
        </w:rPr>
      </w:pPr>
      <w:r>
        <w:rPr>
          <w:rFonts w:hint="eastAsia" w:ascii="仿宋_GB2312" w:hAnsi="仿宋_GB2312" w:eastAsia="仿宋_GB2312" w:cs="仿宋_GB2312"/>
          <w:b w:val="0"/>
          <w:bCs w:val="0"/>
          <w:sz w:val="32"/>
          <w:szCs w:val="32"/>
          <w:lang w:eastAsia="zh-CN"/>
        </w:rPr>
        <w:t>县农业农村局、住建局、水利局、</w:t>
      </w:r>
      <w:r>
        <w:rPr>
          <w:rFonts w:hint="eastAsia" w:ascii="Times New Roman" w:hAnsi="Times New Roman" w:eastAsia="仿宋_GB2312" w:cs="Times New Roman"/>
          <w:b w:val="0"/>
          <w:bCs w:val="0"/>
          <w:sz w:val="32"/>
          <w:szCs w:val="32"/>
          <w:lang w:eastAsia="zh-CN"/>
        </w:rPr>
        <w:t>人社局、</w:t>
      </w:r>
      <w:r>
        <w:rPr>
          <w:rFonts w:hint="eastAsia" w:ascii="仿宋_GB2312" w:hAnsi="仿宋_GB2312" w:eastAsia="仿宋_GB2312" w:cs="仿宋_GB2312"/>
          <w:b w:val="0"/>
          <w:bCs w:val="0"/>
          <w:sz w:val="32"/>
          <w:szCs w:val="32"/>
          <w:lang w:val="en-US" w:eastAsia="zh-CN"/>
        </w:rPr>
        <w:t>鸦岭镇、葛寨镇、</w:t>
      </w:r>
      <w:r>
        <w:rPr>
          <w:rFonts w:hint="eastAsia" w:ascii="Times New Roman" w:hAnsi="Times New Roman" w:eastAsia="仿宋_GB2312" w:cs="Times New Roman"/>
          <w:b w:val="0"/>
          <w:bCs w:val="0"/>
          <w:sz w:val="32"/>
          <w:szCs w:val="32"/>
          <w:lang w:eastAsia="zh-CN"/>
        </w:rPr>
        <w:t>高山镇、鸣皋镇、白元镇、白沙镇、</w:t>
      </w:r>
      <w:r>
        <w:rPr>
          <w:rFonts w:hint="eastAsia" w:ascii="仿宋" w:hAnsi="仿宋" w:eastAsia="仿宋" w:cs="仿宋"/>
          <w:b w:val="0"/>
          <w:bCs w:val="0"/>
          <w:color w:val="000000"/>
          <w:sz w:val="32"/>
          <w:szCs w:val="32"/>
          <w:lang w:eastAsia="zh-CN"/>
        </w:rPr>
        <w:t>江左镇</w:t>
      </w:r>
      <w:r>
        <w:rPr>
          <w:rFonts w:hint="default" w:ascii="Times New Roman" w:hAnsi="Times New Roman" w:eastAsia="仿宋_GB2312" w:cs="Times New Roman"/>
          <w:b w:val="0"/>
          <w:bCs w:val="0"/>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2022年鸦岭镇韩洼村高山镇穆店村等村污水治理项目</w:t>
      </w:r>
      <w:r>
        <w:rPr>
          <w:rFonts w:hint="eastAsia" w:ascii="仿宋_GB2312" w:hAnsi="仿宋_GB2312" w:eastAsia="仿宋_GB2312" w:cs="仿宋_GB2312"/>
          <w:sz w:val="32"/>
          <w:szCs w:val="32"/>
          <w:lang w:eastAsia="zh-CN"/>
        </w:rPr>
        <w:t>资金</w:t>
      </w:r>
      <w:r>
        <w:rPr>
          <w:rFonts w:hint="eastAsia" w:ascii="Times New Roman" w:hAnsi="Times New Roman" w:eastAsia="仿宋_GB2312"/>
          <w:sz w:val="32"/>
          <w:szCs w:val="32"/>
          <w:lang w:val="en-US" w:eastAsia="zh-CN"/>
        </w:rPr>
        <w:t>分配</w:t>
      </w:r>
      <w:r>
        <w:rPr>
          <w:rFonts w:hint="eastAsia" w:ascii="Times New Roman" w:hAnsi="Times New Roman" w:eastAsia="仿宋_GB2312"/>
          <w:sz w:val="32"/>
          <w:szCs w:val="32"/>
          <w:lang w:eastAsia="zh-CN"/>
        </w:rPr>
        <w:t>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103</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关于下达2022年</w:t>
      </w:r>
      <w:r>
        <w:rPr>
          <w:rFonts w:hint="eastAsia" w:ascii="仿宋_GB2312" w:hAnsi="仿宋_GB2312" w:eastAsia="仿宋_GB2312" w:cs="仿宋_GB2312"/>
          <w:sz w:val="32"/>
          <w:szCs w:val="32"/>
          <w:lang w:val="en-US" w:eastAsia="zh-CN"/>
        </w:rPr>
        <w:t>伊川县葛寨镇后富山村红薯加工等项目资金分配意见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104</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伊川县巩固拓展脱贫攻坚成果领导小组关于下达</w:t>
      </w:r>
      <w:r>
        <w:rPr>
          <w:rFonts w:hint="eastAsia" w:ascii="Times New Roman" w:hAnsi="Times New Roman" w:eastAsia="仿宋_GB2312"/>
          <w:sz w:val="32"/>
          <w:szCs w:val="32"/>
          <w:lang w:val="en-US" w:eastAsia="zh-CN"/>
        </w:rPr>
        <w:t>2022年鸦岭镇高山镇等镇转移就业补贴追加资金分配意见的通知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106</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伊川县巩固拓展脱贫攻坚成果领导小组关于收回</w:t>
      </w:r>
      <w:r>
        <w:rPr>
          <w:rFonts w:hint="eastAsia" w:ascii="Times New Roman" w:hAnsi="Times New Roman" w:eastAsia="仿宋_GB2312"/>
          <w:sz w:val="32"/>
          <w:szCs w:val="32"/>
          <w:lang w:val="en-US" w:eastAsia="zh-CN"/>
        </w:rPr>
        <w:t>2022年伊川县江左镇江左村村集体经济发展等项目资金的报告</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108</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2022年江左镇官庄村污水治理鸦岭镇楼头村安全饮水等项目</w:t>
      </w:r>
      <w:r>
        <w:rPr>
          <w:rFonts w:hint="eastAsia" w:ascii="仿宋_GB2312" w:hAnsi="仿宋_GB2312" w:eastAsia="仿宋_GB2312" w:cs="仿宋_GB2312"/>
          <w:sz w:val="32"/>
          <w:szCs w:val="32"/>
          <w:lang w:eastAsia="zh-CN"/>
        </w:rPr>
        <w:t>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112</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文件要求，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Times New Roman" w:hAnsi="Times New Roman" w:eastAsia="仿宋_GB2312"/>
          <w:sz w:val="32"/>
          <w:szCs w:val="32"/>
          <w:lang w:val="en-US" w:eastAsia="zh-CN"/>
        </w:rPr>
        <w:t>5000000元予以收回，</w:t>
      </w:r>
      <w:r>
        <w:rPr>
          <w:rFonts w:hint="eastAsia" w:ascii="仿宋" w:hAnsi="仿宋" w:eastAsia="仿宋" w:cs="仿宋"/>
          <w:color w:val="000000"/>
          <w:sz w:val="32"/>
          <w:szCs w:val="32"/>
          <w:lang w:val="en-US" w:eastAsia="zh-CN"/>
        </w:rPr>
        <w:t>将7896606.25元予以下达，</w:t>
      </w:r>
      <w:r>
        <w:rPr>
          <w:rFonts w:hint="eastAsia" w:ascii="仿宋_GB2312" w:hAnsi="仿宋_GB2312" w:eastAsia="仿宋_GB2312" w:cs="仿宋_GB2312"/>
          <w:sz w:val="32"/>
          <w:szCs w:val="32"/>
        </w:rPr>
        <w:t>具体如下：</w:t>
      </w:r>
    </w:p>
    <w:p>
      <w:pPr>
        <w:numPr>
          <w:ilvl w:val="0"/>
          <w:numId w:val="1"/>
        </w:numPr>
        <w:spacing w:line="58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cs="仿宋_GB2312"/>
          <w:sz w:val="32"/>
          <w:szCs w:val="32"/>
          <w:lang w:eastAsia="zh-CN"/>
        </w:rPr>
        <w:t>收回</w:t>
      </w:r>
      <w:r>
        <w:rPr>
          <w:rFonts w:hint="eastAsia" w:ascii="Times New Roman" w:hAnsi="Times New Roman" w:eastAsia="仿宋_GB2312" w:cs="仿宋_GB2312"/>
          <w:sz w:val="32"/>
          <w:szCs w:val="32"/>
          <w:lang w:val="en-US" w:eastAsia="zh-CN"/>
        </w:rPr>
        <w:t>2022年伊川县江左镇江左村村集体经济发展等项目资金5000000元。</w:t>
      </w:r>
      <w:r>
        <w:rPr>
          <w:rFonts w:hint="eastAsia" w:ascii="Times New Roman" w:hAnsi="仿宋_GB2312" w:eastAsia="仿宋_GB2312"/>
          <w:sz w:val="32"/>
          <w:szCs w:val="32"/>
          <w:lang w:val="en-US" w:eastAsia="zh-CN"/>
        </w:rPr>
        <w:t>（详见附表1）</w:t>
      </w:r>
    </w:p>
    <w:p>
      <w:pPr>
        <w:numPr>
          <w:ilvl w:val="0"/>
          <w:numId w:val="1"/>
        </w:numPr>
        <w:spacing w:line="58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Cs/>
          <w:color w:val="auto"/>
          <w:sz w:val="32"/>
          <w:szCs w:val="32"/>
          <w:lang w:eastAsia="zh-CN"/>
        </w:rPr>
        <w:t>下达2022年</w:t>
      </w:r>
      <w:r>
        <w:rPr>
          <w:rFonts w:hint="eastAsia" w:ascii="仿宋_GB2312" w:hAnsi="仿宋_GB2312" w:eastAsia="仿宋_GB2312" w:cs="仿宋_GB2312"/>
          <w:bCs/>
          <w:color w:val="auto"/>
          <w:sz w:val="32"/>
          <w:szCs w:val="32"/>
          <w:lang w:val="en-US" w:eastAsia="zh-CN"/>
        </w:rPr>
        <w:t>伊川县葛寨镇后富山村红薯加工等项目资金3945000元、下达2022年鸦岭镇高山镇等镇转移就业补贴追加资金258000元、下达2022年伊川县白元镇夹河村污水治理项目2153707.31元（伊财预[2022]28号文件已下达338738.42元）、</w:t>
      </w:r>
      <w:r>
        <w:rPr>
          <w:rFonts w:hint="eastAsia" w:ascii="Times New Roman" w:hAnsi="Times New Roman" w:eastAsia="仿宋_GB2312"/>
          <w:sz w:val="32"/>
          <w:szCs w:val="32"/>
          <w:lang w:val="en-US" w:eastAsia="zh-CN"/>
        </w:rPr>
        <w:t>下达2022年江左镇官庄村污水治理鸦岭镇楼头村安全饮水等项目资金1539898.94元。（详见附表2）</w:t>
      </w:r>
    </w:p>
    <w:p>
      <w:pPr>
        <w:numPr>
          <w:numId w:val="0"/>
        </w:numPr>
        <w:spacing w:line="580" w:lineRule="exact"/>
        <w:ind w:firstLine="640" w:firstLineChars="200"/>
        <w:rPr>
          <w:rFonts w:hint="eastAsia" w:ascii="仿宋" w:hAnsi="仿宋" w:eastAsia="仿宋" w:cs="仿宋"/>
          <w:bCs/>
          <w:sz w:val="32"/>
          <w:szCs w:val="32"/>
          <w:lang w:val="en-US" w:eastAsia="zh-CN"/>
        </w:rPr>
      </w:pPr>
      <w:r>
        <w:rPr>
          <w:rFonts w:hint="eastAsia" w:ascii="Times New Roman" w:hAnsi="Times New Roman" w:eastAsia="仿宋_GB2312" w:cs="仿宋_GB2312"/>
          <w:sz w:val="32"/>
          <w:szCs w:val="32"/>
          <w:lang w:eastAsia="zh-CN"/>
        </w:rPr>
        <w:t>三、</w:t>
      </w:r>
      <w:r>
        <w:rPr>
          <w:rFonts w:hint="eastAsia" w:ascii="仿宋" w:hAnsi="仿宋" w:eastAsia="仿宋" w:cs="仿宋"/>
          <w:bCs/>
          <w:sz w:val="32"/>
          <w:szCs w:val="32"/>
          <w:lang w:val="en-US" w:eastAsia="zh-CN"/>
        </w:rPr>
        <w:t>根据《支持脱贫县落实统筹整合财政涉农资金政策实施细则》（伊财农[2021]3号）规定，本次下达的统筹整合资金列入2022政府收支科目“21305”科目。</w:t>
      </w:r>
      <w:bookmarkStart w:id="0" w:name="_GoBack"/>
      <w:bookmarkEnd w:id="0"/>
      <w:r>
        <w:rPr>
          <w:rFonts w:hint="eastAsia" w:ascii="仿宋_GB2312" w:hAnsi="仿宋_GB2312" w:eastAsia="仿宋_GB2312" w:cs="仿宋_GB2312"/>
          <w:b w:val="0"/>
          <w:bCs w:val="0"/>
          <w:sz w:val="32"/>
          <w:szCs w:val="32"/>
          <w:lang w:eastAsia="zh-CN"/>
        </w:rPr>
        <w:t>县农业农村局、</w:t>
      </w:r>
      <w:r>
        <w:rPr>
          <w:rFonts w:hint="eastAsia" w:ascii="Times New Roman" w:hAnsi="Times New Roman" w:eastAsia="仿宋_GB2312" w:cs="Times New Roman"/>
          <w:b w:val="0"/>
          <w:bCs w:val="0"/>
          <w:sz w:val="32"/>
          <w:szCs w:val="32"/>
          <w:lang w:eastAsia="zh-CN"/>
        </w:rPr>
        <w:t>人社局、</w:t>
      </w:r>
      <w:r>
        <w:rPr>
          <w:rFonts w:hint="eastAsia" w:ascii="仿宋_GB2312" w:hAnsi="仿宋_GB2312" w:eastAsia="仿宋_GB2312" w:cs="仿宋_GB2312"/>
          <w:b w:val="0"/>
          <w:bCs w:val="0"/>
          <w:sz w:val="32"/>
          <w:szCs w:val="32"/>
          <w:lang w:val="en-US" w:eastAsia="zh-CN"/>
        </w:rPr>
        <w:t>鸦岭镇、葛寨镇、</w:t>
      </w:r>
      <w:r>
        <w:rPr>
          <w:rFonts w:hint="eastAsia" w:ascii="Times New Roman" w:hAnsi="Times New Roman" w:eastAsia="仿宋_GB2312" w:cs="Times New Roman"/>
          <w:b w:val="0"/>
          <w:bCs w:val="0"/>
          <w:sz w:val="32"/>
          <w:szCs w:val="32"/>
          <w:lang w:eastAsia="zh-CN"/>
        </w:rPr>
        <w:t>高山镇、鸣皋镇、白元镇、白沙镇、</w:t>
      </w:r>
      <w:r>
        <w:rPr>
          <w:rFonts w:hint="eastAsia" w:ascii="仿宋" w:hAnsi="仿宋" w:eastAsia="仿宋" w:cs="仿宋"/>
          <w:b w:val="0"/>
          <w:bCs w:val="0"/>
          <w:color w:val="000000"/>
          <w:sz w:val="32"/>
          <w:szCs w:val="32"/>
          <w:lang w:eastAsia="zh-CN"/>
        </w:rPr>
        <w:t>江左镇</w:t>
      </w:r>
      <w:r>
        <w:rPr>
          <w:rFonts w:hint="eastAsia" w:ascii="仿宋" w:hAnsi="仿宋" w:eastAsia="仿宋" w:cs="仿宋"/>
          <w:bCs/>
          <w:sz w:val="32"/>
          <w:szCs w:val="32"/>
          <w:lang w:val="en-US" w:eastAsia="zh-CN"/>
        </w:rPr>
        <w:t>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四、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val="0"/>
          <w:bCs/>
          <w:sz w:val="32"/>
          <w:szCs w:val="32"/>
        </w:rPr>
      </w:pP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Times New Roman" w:hAnsi="Times New Roman" w:eastAsia="仿宋_GB2312"/>
          <w:sz w:val="32"/>
          <w:szCs w:val="32"/>
          <w:lang w:val="en-US" w:eastAsia="zh-CN"/>
        </w:rPr>
        <w:t>年村集体经济发展等项目资金</w:t>
      </w:r>
      <w:r>
        <w:rPr>
          <w:rFonts w:hint="eastAsia" w:ascii="仿宋" w:hAnsi="仿宋" w:eastAsia="仿宋" w:cs="仿宋"/>
          <w:i w:val="0"/>
          <w:color w:val="auto"/>
          <w:kern w:val="0"/>
          <w:sz w:val="32"/>
          <w:szCs w:val="32"/>
          <w:u w:val="none"/>
          <w:lang w:val="en-US" w:eastAsia="zh-CN"/>
        </w:rPr>
        <w:t>收回明细表</w:t>
      </w:r>
    </w:p>
    <w:p>
      <w:pPr>
        <w:spacing w:line="580" w:lineRule="exact"/>
        <w:ind w:firstLine="482" w:firstLineChars="150"/>
        <w:rPr>
          <w:rFonts w:hint="eastAsia" w:ascii="仿宋" w:hAnsi="仿宋" w:eastAsia="仿宋" w:cs="仿宋"/>
          <w:i w:val="0"/>
          <w:color w:val="auto"/>
          <w:kern w:val="0"/>
          <w:sz w:val="32"/>
          <w:szCs w:val="32"/>
          <w:u w:val="none"/>
          <w:lang w:val="en-US"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十五</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pStyle w:val="2"/>
        <w:rPr>
          <w:rFonts w:hint="eastAsia"/>
        </w:rPr>
      </w:pPr>
    </w:p>
    <w:p>
      <w:pPr>
        <w:pStyle w:val="2"/>
        <w:rPr>
          <w:rFonts w:hint="eastAsia"/>
        </w:rPr>
      </w:pPr>
    </w:p>
    <w:p>
      <w:pPr>
        <w:pStyle w:val="2"/>
        <w:rPr>
          <w:rFonts w:hint="eastAsia"/>
        </w:rPr>
      </w:pPr>
    </w:p>
    <w:p>
      <w:pPr>
        <w:pStyle w:val="2"/>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tbl>
      <w:tblPr>
        <w:tblStyle w:val="10"/>
        <w:tblpPr w:leftFromText="180" w:rightFromText="180" w:vertAnchor="text" w:horzAnchor="page" w:tblpX="1540" w:tblpY="12470"/>
        <w:tblOverlap w:val="never"/>
        <w:tblW w:w="894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948" w:type="dxa"/>
            <w:tcBorders>
              <w:tl2br w:val="nil"/>
              <w:tr2bl w:val="nil"/>
            </w:tcBorders>
            <w:vAlign w:val="top"/>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方正大标宋简体">
    <w:altName w:val="微软雅黑"/>
    <w:panose1 w:val="03000509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rect id="文本框 3" o:spid="_x0000_s1025" style="position:absolute;left:0;margin-top:0pt;height:18.15pt;width:35.0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34754902">
    <w:nsid w:val="43A2FC56"/>
    <w:multiLevelType w:val="singleLevel"/>
    <w:tmpl w:val="43A2FC56"/>
    <w:lvl w:ilvl="0" w:tentative="1">
      <w:start w:val="1"/>
      <w:numFmt w:val="chineseCounting"/>
      <w:suff w:val="nothing"/>
      <w:lvlText w:val="%1、"/>
      <w:lvlJc w:val="left"/>
      <w:rPr>
        <w:rFonts w:hint="eastAsia"/>
      </w:rPr>
    </w:lvl>
  </w:abstractNum>
  <w:num w:numId="1">
    <w:abstractNumId w:val="11347549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30A41F8"/>
    <w:rsid w:val="037C583F"/>
    <w:rsid w:val="03B6348F"/>
    <w:rsid w:val="04693C4E"/>
    <w:rsid w:val="047848CB"/>
    <w:rsid w:val="048309CA"/>
    <w:rsid w:val="04904FA7"/>
    <w:rsid w:val="04AE18D1"/>
    <w:rsid w:val="0569577F"/>
    <w:rsid w:val="05B42E9A"/>
    <w:rsid w:val="05DD1F2C"/>
    <w:rsid w:val="066761DB"/>
    <w:rsid w:val="06FE6B3F"/>
    <w:rsid w:val="07927288"/>
    <w:rsid w:val="07F94CD8"/>
    <w:rsid w:val="080518B2"/>
    <w:rsid w:val="08176D67"/>
    <w:rsid w:val="089B6424"/>
    <w:rsid w:val="08C23B9D"/>
    <w:rsid w:val="099B3D15"/>
    <w:rsid w:val="0A7902E7"/>
    <w:rsid w:val="0A9633BE"/>
    <w:rsid w:val="0B1F04F1"/>
    <w:rsid w:val="0D2349E0"/>
    <w:rsid w:val="0D884570"/>
    <w:rsid w:val="0DEB1355"/>
    <w:rsid w:val="0DFA5B87"/>
    <w:rsid w:val="0DFB4B3D"/>
    <w:rsid w:val="0E186469"/>
    <w:rsid w:val="0F7871F8"/>
    <w:rsid w:val="0FC64F44"/>
    <w:rsid w:val="10022AD1"/>
    <w:rsid w:val="10E072B6"/>
    <w:rsid w:val="11896889"/>
    <w:rsid w:val="1277225B"/>
    <w:rsid w:val="129760A8"/>
    <w:rsid w:val="1298748F"/>
    <w:rsid w:val="129C23D2"/>
    <w:rsid w:val="13163094"/>
    <w:rsid w:val="137B303F"/>
    <w:rsid w:val="142D0D9F"/>
    <w:rsid w:val="145232C8"/>
    <w:rsid w:val="148937C0"/>
    <w:rsid w:val="14F50DA4"/>
    <w:rsid w:val="14F70077"/>
    <w:rsid w:val="150962AD"/>
    <w:rsid w:val="15C12D1A"/>
    <w:rsid w:val="16264B28"/>
    <w:rsid w:val="166B776B"/>
    <w:rsid w:val="16A43751"/>
    <w:rsid w:val="17E11EA2"/>
    <w:rsid w:val="187D2767"/>
    <w:rsid w:val="18B403CE"/>
    <w:rsid w:val="19692900"/>
    <w:rsid w:val="1A986F4F"/>
    <w:rsid w:val="1B627B13"/>
    <w:rsid w:val="1C1A6D3B"/>
    <w:rsid w:val="1D141803"/>
    <w:rsid w:val="1D70551D"/>
    <w:rsid w:val="1D8820D5"/>
    <w:rsid w:val="1DCA77B8"/>
    <w:rsid w:val="1DE33F41"/>
    <w:rsid w:val="1ECC38EA"/>
    <w:rsid w:val="1F0A1899"/>
    <w:rsid w:val="1F2F403C"/>
    <w:rsid w:val="1F882FF2"/>
    <w:rsid w:val="204F313A"/>
    <w:rsid w:val="205F59D0"/>
    <w:rsid w:val="2081166A"/>
    <w:rsid w:val="21024E0E"/>
    <w:rsid w:val="21DE339D"/>
    <w:rsid w:val="21E64E17"/>
    <w:rsid w:val="229121BE"/>
    <w:rsid w:val="23067BC1"/>
    <w:rsid w:val="239105D5"/>
    <w:rsid w:val="23D30843"/>
    <w:rsid w:val="24763D61"/>
    <w:rsid w:val="24ED38F7"/>
    <w:rsid w:val="27692073"/>
    <w:rsid w:val="27740131"/>
    <w:rsid w:val="28A57EEE"/>
    <w:rsid w:val="28BE7A85"/>
    <w:rsid w:val="29F35969"/>
    <w:rsid w:val="29FD638B"/>
    <w:rsid w:val="2B04264B"/>
    <w:rsid w:val="2B6C1A1A"/>
    <w:rsid w:val="2BCB379A"/>
    <w:rsid w:val="2BD338DE"/>
    <w:rsid w:val="2BEB1FDF"/>
    <w:rsid w:val="2C030CFD"/>
    <w:rsid w:val="2DA72612"/>
    <w:rsid w:val="2DB63A39"/>
    <w:rsid w:val="2DF87595"/>
    <w:rsid w:val="2E163979"/>
    <w:rsid w:val="2E24646E"/>
    <w:rsid w:val="2F1E0405"/>
    <w:rsid w:val="2F524B24"/>
    <w:rsid w:val="2FF81ACE"/>
    <w:rsid w:val="3068486C"/>
    <w:rsid w:val="312B7C81"/>
    <w:rsid w:val="318F119B"/>
    <w:rsid w:val="323A3FB6"/>
    <w:rsid w:val="32E94822"/>
    <w:rsid w:val="3324010F"/>
    <w:rsid w:val="3353526D"/>
    <w:rsid w:val="341B7092"/>
    <w:rsid w:val="341D71AA"/>
    <w:rsid w:val="345B70DA"/>
    <w:rsid w:val="34DF5286"/>
    <w:rsid w:val="36C724BE"/>
    <w:rsid w:val="370B28B9"/>
    <w:rsid w:val="378679C0"/>
    <w:rsid w:val="381C1B99"/>
    <w:rsid w:val="384D4981"/>
    <w:rsid w:val="38940F06"/>
    <w:rsid w:val="38F202B5"/>
    <w:rsid w:val="39673821"/>
    <w:rsid w:val="3AE77773"/>
    <w:rsid w:val="3B9921EB"/>
    <w:rsid w:val="3BCD2D43"/>
    <w:rsid w:val="3C4A67EF"/>
    <w:rsid w:val="3C7F4645"/>
    <w:rsid w:val="3D2D77FD"/>
    <w:rsid w:val="3D2E2FD3"/>
    <w:rsid w:val="3D7A7FC6"/>
    <w:rsid w:val="3E8C7CDA"/>
    <w:rsid w:val="3EA33A1A"/>
    <w:rsid w:val="3EA61729"/>
    <w:rsid w:val="3EE50AEA"/>
    <w:rsid w:val="3FC71C76"/>
    <w:rsid w:val="40663F04"/>
    <w:rsid w:val="407F62A0"/>
    <w:rsid w:val="40890521"/>
    <w:rsid w:val="40CD415E"/>
    <w:rsid w:val="410305B7"/>
    <w:rsid w:val="41173D1A"/>
    <w:rsid w:val="41903CF6"/>
    <w:rsid w:val="422C5607"/>
    <w:rsid w:val="428C3121"/>
    <w:rsid w:val="42A41642"/>
    <w:rsid w:val="430D78F8"/>
    <w:rsid w:val="433810BE"/>
    <w:rsid w:val="435412BA"/>
    <w:rsid w:val="440920A4"/>
    <w:rsid w:val="444035EC"/>
    <w:rsid w:val="45284B01"/>
    <w:rsid w:val="454C762D"/>
    <w:rsid w:val="45674829"/>
    <w:rsid w:val="459E1E59"/>
    <w:rsid w:val="47523D62"/>
    <w:rsid w:val="475923DC"/>
    <w:rsid w:val="47975C19"/>
    <w:rsid w:val="489932CB"/>
    <w:rsid w:val="48BC05C2"/>
    <w:rsid w:val="49A62143"/>
    <w:rsid w:val="4A3C7922"/>
    <w:rsid w:val="4AA20B5D"/>
    <w:rsid w:val="4ACD636B"/>
    <w:rsid w:val="4B4A399F"/>
    <w:rsid w:val="4B5767AE"/>
    <w:rsid w:val="4C2872FD"/>
    <w:rsid w:val="4D0D37E8"/>
    <w:rsid w:val="4D0F442E"/>
    <w:rsid w:val="4DB17948"/>
    <w:rsid w:val="4DFC5BB7"/>
    <w:rsid w:val="4E410F19"/>
    <w:rsid w:val="4EAD6F8E"/>
    <w:rsid w:val="4EF86ED0"/>
    <w:rsid w:val="4F413A95"/>
    <w:rsid w:val="4FB02649"/>
    <w:rsid w:val="4FD24E5F"/>
    <w:rsid w:val="4FD75C47"/>
    <w:rsid w:val="516271A9"/>
    <w:rsid w:val="51840FBC"/>
    <w:rsid w:val="51967E34"/>
    <w:rsid w:val="51A96D1F"/>
    <w:rsid w:val="51C23892"/>
    <w:rsid w:val="51CA1FB1"/>
    <w:rsid w:val="52123A5A"/>
    <w:rsid w:val="521A071F"/>
    <w:rsid w:val="530572E6"/>
    <w:rsid w:val="53770FA7"/>
    <w:rsid w:val="538854FD"/>
    <w:rsid w:val="54B9105D"/>
    <w:rsid w:val="54E00A96"/>
    <w:rsid w:val="551548AB"/>
    <w:rsid w:val="557305CA"/>
    <w:rsid w:val="56081C71"/>
    <w:rsid w:val="56205006"/>
    <w:rsid w:val="565207EC"/>
    <w:rsid w:val="567D5FDA"/>
    <w:rsid w:val="59503A1A"/>
    <w:rsid w:val="59AB5A05"/>
    <w:rsid w:val="59BD32BD"/>
    <w:rsid w:val="5B7025B1"/>
    <w:rsid w:val="5CD25094"/>
    <w:rsid w:val="5D3E5434"/>
    <w:rsid w:val="5D423C91"/>
    <w:rsid w:val="5D9B4FE1"/>
    <w:rsid w:val="5DC13144"/>
    <w:rsid w:val="5DF07810"/>
    <w:rsid w:val="5EBF0CE7"/>
    <w:rsid w:val="5F742670"/>
    <w:rsid w:val="5FF133E8"/>
    <w:rsid w:val="60187D0B"/>
    <w:rsid w:val="60864D7F"/>
    <w:rsid w:val="60C6611D"/>
    <w:rsid w:val="60CC64DC"/>
    <w:rsid w:val="60DF5FDA"/>
    <w:rsid w:val="61743760"/>
    <w:rsid w:val="61D373F6"/>
    <w:rsid w:val="61DC53E8"/>
    <w:rsid w:val="627B5AC3"/>
    <w:rsid w:val="62C642C8"/>
    <w:rsid w:val="62D741A0"/>
    <w:rsid w:val="634B1FF6"/>
    <w:rsid w:val="639A711C"/>
    <w:rsid w:val="63B22607"/>
    <w:rsid w:val="64F97173"/>
    <w:rsid w:val="6530669A"/>
    <w:rsid w:val="655B1BDC"/>
    <w:rsid w:val="65B448F1"/>
    <w:rsid w:val="66126EBF"/>
    <w:rsid w:val="66782CB4"/>
    <w:rsid w:val="667D4993"/>
    <w:rsid w:val="669E32AF"/>
    <w:rsid w:val="66D32D1F"/>
    <w:rsid w:val="67B457F0"/>
    <w:rsid w:val="67F97B02"/>
    <w:rsid w:val="68040309"/>
    <w:rsid w:val="696372B1"/>
    <w:rsid w:val="69C556DC"/>
    <w:rsid w:val="6A0675FC"/>
    <w:rsid w:val="6A5B6767"/>
    <w:rsid w:val="6A905171"/>
    <w:rsid w:val="6ABF405B"/>
    <w:rsid w:val="6B1F4868"/>
    <w:rsid w:val="6BC56001"/>
    <w:rsid w:val="6C3D028D"/>
    <w:rsid w:val="6C517895"/>
    <w:rsid w:val="6C6A456F"/>
    <w:rsid w:val="6CBE13CE"/>
    <w:rsid w:val="6CF8086E"/>
    <w:rsid w:val="6D361187"/>
    <w:rsid w:val="6EA066E5"/>
    <w:rsid w:val="6EBD4ED6"/>
    <w:rsid w:val="6EDF492B"/>
    <w:rsid w:val="6FCA6304"/>
    <w:rsid w:val="6FE54EC4"/>
    <w:rsid w:val="6FE81534"/>
    <w:rsid w:val="6FF95CCA"/>
    <w:rsid w:val="70F96038"/>
    <w:rsid w:val="710B095A"/>
    <w:rsid w:val="71B82978"/>
    <w:rsid w:val="720854ED"/>
    <w:rsid w:val="73593BFF"/>
    <w:rsid w:val="73E927EE"/>
    <w:rsid w:val="73ED1B12"/>
    <w:rsid w:val="74477EFB"/>
    <w:rsid w:val="7462740B"/>
    <w:rsid w:val="747252C4"/>
    <w:rsid w:val="7483352F"/>
    <w:rsid w:val="74AC5E7A"/>
    <w:rsid w:val="74F8638E"/>
    <w:rsid w:val="7513602F"/>
    <w:rsid w:val="756010C7"/>
    <w:rsid w:val="75621733"/>
    <w:rsid w:val="761E061B"/>
    <w:rsid w:val="76A2572F"/>
    <w:rsid w:val="76CF4937"/>
    <w:rsid w:val="77043E82"/>
    <w:rsid w:val="77094C32"/>
    <w:rsid w:val="77883F14"/>
    <w:rsid w:val="77BB2B47"/>
    <w:rsid w:val="78D76DD5"/>
    <w:rsid w:val="78FB231B"/>
    <w:rsid w:val="798A380F"/>
    <w:rsid w:val="79E61F64"/>
    <w:rsid w:val="7A344A7E"/>
    <w:rsid w:val="7A716B70"/>
    <w:rsid w:val="7A8E29DA"/>
    <w:rsid w:val="7C6D60C7"/>
    <w:rsid w:val="7CAE6CB7"/>
    <w:rsid w:val="7D622C5C"/>
    <w:rsid w:val="7D7C0783"/>
    <w:rsid w:val="7DD115D7"/>
    <w:rsid w:val="7E1A7890"/>
    <w:rsid w:val="7EC061BB"/>
    <w:rsid w:val="7EC97091"/>
    <w:rsid w:val="7EF90D73"/>
    <w:rsid w:val="7F0F5AB9"/>
    <w:rsid w:val="7FAC50B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18"/>
    <w:unhideWhenUsed/>
    <w:qFormat/>
    <w:uiPriority w:val="99"/>
    <w:pPr>
      <w:ind w:left="100" w:leftChars="2500"/>
    </w:pPr>
  </w:style>
  <w:style w:type="paragraph" w:styleId="5">
    <w:name w:val="Balloon Text"/>
    <w:basedOn w:val="1"/>
    <w:link w:val="17"/>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3">
    <w:name w:val="列表段落1"/>
    <w:basedOn w:val="1"/>
    <w:qFormat/>
    <w:uiPriority w:val="99"/>
    <w:pPr>
      <w:ind w:firstLine="420" w:firstLineChars="200"/>
    </w:pPr>
  </w:style>
  <w:style w:type="paragraph" w:customStyle="1" w:styleId="14">
    <w:name w:val="列表段落2"/>
    <w:basedOn w:val="1"/>
    <w:qFormat/>
    <w:uiPriority w:val="99"/>
    <w:pPr>
      <w:ind w:firstLine="420" w:firstLineChars="200"/>
    </w:pPr>
  </w:style>
  <w:style w:type="character" w:customStyle="1" w:styleId="15">
    <w:name w:val="页眉 字符"/>
    <w:basedOn w:val="8"/>
    <w:link w:val="7"/>
    <w:qFormat/>
    <w:uiPriority w:val="99"/>
    <w:rPr>
      <w:rFonts w:ascii="Calibri" w:hAnsi="Calibri" w:eastAsia="宋体" w:cs="Times New Roman"/>
      <w:kern w:val="2"/>
      <w:sz w:val="18"/>
      <w:szCs w:val="18"/>
    </w:rPr>
  </w:style>
  <w:style w:type="character" w:customStyle="1" w:styleId="16">
    <w:name w:val="页脚 字符"/>
    <w:basedOn w:val="8"/>
    <w:link w:val="6"/>
    <w:semiHidden/>
    <w:qFormat/>
    <w:uiPriority w:val="99"/>
    <w:rPr>
      <w:rFonts w:ascii="Calibri" w:hAnsi="Calibri" w:eastAsia="宋体" w:cs="Times New Roman"/>
      <w:kern w:val="2"/>
      <w:sz w:val="18"/>
      <w:szCs w:val="18"/>
    </w:rPr>
  </w:style>
  <w:style w:type="character" w:customStyle="1" w:styleId="17">
    <w:name w:val="批注框文本 字符"/>
    <w:basedOn w:val="8"/>
    <w:link w:val="5"/>
    <w:semiHidden/>
    <w:qFormat/>
    <w:uiPriority w:val="99"/>
    <w:rPr>
      <w:rFonts w:ascii="Calibri" w:hAnsi="Calibri"/>
      <w:kern w:val="2"/>
      <w:sz w:val="18"/>
      <w:szCs w:val="18"/>
    </w:rPr>
  </w:style>
  <w:style w:type="character" w:customStyle="1" w:styleId="18">
    <w:name w:val="日期 字符"/>
    <w:basedOn w:val="8"/>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1129</Words>
  <Characters>1316</Characters>
  <Lines>12</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2022-07-07T09:06:00Z</cp:lastPrinted>
  <dcterms:modified xsi:type="dcterms:W3CDTF">2022-08-02T08:51:07Z</dcterms:modified>
  <dc:title>伊财预﹝2022﹞27号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A1721B3ADD3B4512AB57E8D2B284EEE9</vt:lpwstr>
  </property>
</Properties>
</file>