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40" w:lineRule="exact"/>
        <w:jc w:val="center"/>
        <w:rPr>
          <w:rFonts w:hint="eastAsia" w:ascii="方正大标宋简体" w:eastAsia="方正大标宋简体" w:hAnsiTheme="majorEastAsia"/>
          <w:sz w:val="44"/>
          <w:szCs w:val="44"/>
          <w:lang w:val="en-US" w:eastAsia="zh-CN"/>
        </w:rPr>
      </w:pPr>
      <w:r>
        <w:rPr>
          <w:rFonts w:hint="eastAsia" w:ascii="方正大标宋简体" w:eastAsia="方正大标宋简体" w:hAnsiTheme="majorEastAsia"/>
          <w:sz w:val="44"/>
          <w:szCs w:val="44"/>
          <w:lang w:val="en-US" w:eastAsia="zh-CN"/>
        </w:rPr>
        <w:t>伊川县财政局</w:t>
      </w:r>
    </w:p>
    <w:p>
      <w:pPr>
        <w:spacing w:line="640" w:lineRule="exact"/>
        <w:jc w:val="center"/>
        <w:rPr>
          <w:rFonts w:hint="eastAsia" w:ascii="方正大标宋简体" w:eastAsia="方正大标宋简体" w:hAnsiTheme="majorEastAsia"/>
          <w:sz w:val="44"/>
          <w:szCs w:val="44"/>
          <w:lang w:val="en-US" w:eastAsia="zh-CN"/>
        </w:rPr>
      </w:pPr>
      <w:r>
        <w:rPr>
          <w:rFonts w:hint="eastAsia" w:ascii="方正大标宋简体" w:eastAsia="方正大标宋简体" w:hAnsiTheme="majorEastAsia"/>
          <w:sz w:val="44"/>
          <w:szCs w:val="44"/>
          <w:lang w:val="en-US" w:eastAsia="zh-CN"/>
        </w:rPr>
        <w:t>关于下达2022年第十一批衔接推进乡村振兴</w:t>
      </w:r>
      <w:r>
        <w:rPr>
          <w:rFonts w:hint="eastAsia" w:ascii="方正小标宋简体" w:hAnsi="Times New Roman" w:eastAsia="方正小标宋简体"/>
          <w:bCs/>
          <w:spacing w:val="10"/>
          <w:sz w:val="44"/>
          <w:szCs w:val="44"/>
          <w:lang w:eastAsia="zh-CN"/>
        </w:rPr>
        <w:t>资</w:t>
      </w:r>
      <w:r>
        <w:rPr>
          <w:rFonts w:hint="eastAsia" w:ascii="方正小标宋简体" w:hAnsi="黑体" w:eastAsia="方正小标宋简体" w:cs="黑体"/>
          <w:sz w:val="44"/>
          <w:szCs w:val="44"/>
          <w:lang w:eastAsia="zh-CN"/>
        </w:rPr>
        <w:t>金</w:t>
      </w:r>
      <w:r>
        <w:rPr>
          <w:rFonts w:hint="eastAsia" w:ascii="方正大标宋简体" w:eastAsia="方正大标宋简体" w:hAnsiTheme="majorEastAsia"/>
          <w:sz w:val="44"/>
          <w:szCs w:val="44"/>
          <w:lang w:val="en-US" w:eastAsia="zh-CN"/>
        </w:rPr>
        <w:t>的通知</w:t>
      </w:r>
    </w:p>
    <w:p>
      <w:pPr>
        <w:spacing w:line="580" w:lineRule="exact"/>
        <w:jc w:val="left"/>
        <w:rPr>
          <w:rFonts w:hint="eastAsia" w:ascii="仿宋_GB2312" w:hAnsi="仿宋_GB2312" w:eastAsia="仿宋_GB2312" w:cs="仿宋_GB2312"/>
          <w:b/>
          <w:bCs/>
          <w:sz w:val="32"/>
          <w:szCs w:val="32"/>
          <w:lang w:eastAsia="zh-CN"/>
        </w:rPr>
      </w:pPr>
    </w:p>
    <w:p>
      <w:pPr>
        <w:spacing w:line="640" w:lineRule="exact"/>
        <w:rPr>
          <w:rFonts w:ascii="仿宋_GB2312" w:hAnsi="仿宋_GB2312" w:eastAsia="仿宋_GB2312" w:cs="仿宋_GB2312"/>
          <w:b/>
          <w:sz w:val="32"/>
          <w:szCs w:val="32"/>
        </w:rPr>
      </w:pPr>
      <w:r>
        <w:rPr>
          <w:rFonts w:hint="eastAsia" w:ascii="仿宋_GB2312" w:hAnsi="仿宋_GB2312" w:eastAsia="仿宋_GB2312" w:cs="仿宋_GB2312"/>
          <w:b/>
          <w:bCs/>
          <w:sz w:val="32"/>
          <w:szCs w:val="32"/>
          <w:lang w:eastAsia="zh-CN"/>
        </w:rPr>
        <w:t>农业农村局、民族宗教事务局、水利局、彭婆镇、白沙镇、吕店镇、平等乡</w:t>
      </w:r>
      <w:r>
        <w:rPr>
          <w:rFonts w:hint="eastAsia" w:ascii="仿宋_GB2312" w:hAnsi="仿宋_GB2312" w:eastAsia="仿宋_GB2312" w:cs="仿宋_GB2312"/>
          <w:b/>
          <w:sz w:val="32"/>
          <w:szCs w:val="32"/>
        </w:rPr>
        <w:t>：</w:t>
      </w:r>
      <w:bookmarkStart w:id="0" w:name="_GoBack"/>
      <w:bookmarkEnd w:id="0"/>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lang w:val="en-US" w:eastAsia="zh-CN"/>
        </w:rPr>
        <w:t>2022年伊川县白沙镇白沙村民族融合集体经济增收项目立项暨资金分配意见的通知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60</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关于下达2022年</w:t>
      </w:r>
      <w:r>
        <w:rPr>
          <w:rFonts w:hint="eastAsia" w:ascii="仿宋_GB2312" w:hAnsi="仿宋_GB2312" w:eastAsia="仿宋_GB2312" w:cs="仿宋_GB2312"/>
          <w:sz w:val="32"/>
          <w:szCs w:val="32"/>
          <w:lang w:val="en-US" w:eastAsia="zh-CN"/>
        </w:rPr>
        <w:t>伊川县</w:t>
      </w:r>
      <w:r>
        <w:rPr>
          <w:rFonts w:hint="eastAsia" w:ascii="仿宋_GB2312" w:hAnsi="仿宋_GB2312" w:eastAsia="仿宋_GB2312" w:cs="仿宋_GB2312"/>
          <w:sz w:val="32"/>
          <w:szCs w:val="32"/>
          <w:lang w:eastAsia="zh-CN"/>
        </w:rPr>
        <w:t>白沙镇高岭村谷子种植</w:t>
      </w:r>
      <w:r>
        <w:rPr>
          <w:rFonts w:hint="eastAsia" w:ascii="仿宋_GB2312" w:hAnsi="仿宋_GB2312" w:eastAsia="仿宋_GB2312" w:cs="仿宋_GB2312"/>
          <w:sz w:val="32"/>
          <w:szCs w:val="32"/>
          <w:lang w:val="en-US" w:eastAsia="zh-CN"/>
        </w:rPr>
        <w:t>等项目资金分配意见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81</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伊川县巩固拓展脱贫攻坚成果领导小组</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val="en-US" w:eastAsia="zh-CN"/>
        </w:rPr>
        <w:t>2022年彭婆镇许营村饮水安全巩固提升</w:t>
      </w:r>
      <w:r>
        <w:rPr>
          <w:rFonts w:hint="eastAsia" w:ascii="仿宋_GB2312" w:hAnsi="仿宋_GB2312" w:eastAsia="仿宋_GB2312" w:cs="仿宋_GB2312"/>
          <w:sz w:val="32"/>
          <w:szCs w:val="32"/>
        </w:rPr>
        <w:t>项目立项</w:t>
      </w:r>
      <w:r>
        <w:rPr>
          <w:rFonts w:hint="eastAsia" w:ascii="仿宋_GB2312" w:hAnsi="仿宋_GB2312" w:eastAsia="仿宋_GB2312" w:cs="仿宋_GB2312"/>
          <w:sz w:val="32"/>
          <w:szCs w:val="32"/>
          <w:lang w:eastAsia="zh-CN"/>
        </w:rPr>
        <w:t>暨下达资金分配意见的通知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82</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全国优质甘薯品种展示基地建设</w:t>
      </w:r>
      <w:r>
        <w:rPr>
          <w:rFonts w:hint="eastAsia" w:ascii="仿宋_GB2312" w:hAnsi="仿宋_GB2312" w:eastAsia="仿宋_GB2312" w:cs="仿宋_GB2312"/>
          <w:sz w:val="32"/>
          <w:szCs w:val="32"/>
        </w:rPr>
        <w:t>项目立项</w:t>
      </w:r>
      <w:r>
        <w:rPr>
          <w:rFonts w:hint="eastAsia" w:ascii="仿宋_GB2312" w:hAnsi="仿宋_GB2312" w:eastAsia="仿宋_GB2312" w:cs="仿宋_GB2312"/>
          <w:sz w:val="32"/>
          <w:szCs w:val="32"/>
          <w:lang w:val="en-US" w:eastAsia="zh-CN"/>
        </w:rPr>
        <w:t>暨资金分配意见的</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85</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2022年伊川县平等乡</w:t>
      </w:r>
      <w:r>
        <w:rPr>
          <w:rFonts w:hint="eastAsia" w:ascii="仿宋_GB2312" w:hAnsi="仿宋_GB2312" w:eastAsia="仿宋_GB2312" w:cs="仿宋_GB2312"/>
          <w:sz w:val="32"/>
          <w:szCs w:val="32"/>
          <w:lang w:eastAsia="zh-CN"/>
        </w:rPr>
        <w:t>马回</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集体经济合作社捡石机</w:t>
      </w:r>
      <w:r>
        <w:rPr>
          <w:rFonts w:hint="eastAsia" w:ascii="仿宋_GB2312" w:hAnsi="仿宋_GB2312" w:eastAsia="仿宋_GB2312" w:cs="仿宋_GB2312"/>
          <w:sz w:val="32"/>
          <w:szCs w:val="32"/>
        </w:rPr>
        <w:t>项目立项</w:t>
      </w:r>
      <w:r>
        <w:rPr>
          <w:rFonts w:hint="eastAsia" w:ascii="仿宋_GB2312" w:hAnsi="仿宋_GB2312" w:eastAsia="仿宋_GB2312" w:cs="仿宋_GB2312"/>
          <w:sz w:val="32"/>
          <w:szCs w:val="32"/>
          <w:lang w:val="en-US" w:eastAsia="zh-CN"/>
        </w:rPr>
        <w:t>暨资金分配意见的</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86</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文件要求，</w:t>
      </w:r>
      <w:r>
        <w:rPr>
          <w:rFonts w:hint="eastAsia" w:ascii="仿宋_GB2312" w:hAnsi="仿宋_GB2312" w:eastAsia="仿宋_GB2312" w:cs="仿宋_GB2312"/>
          <w:sz w:val="32"/>
          <w:szCs w:val="32"/>
        </w:rPr>
        <w:t>现</w:t>
      </w:r>
      <w:r>
        <w:rPr>
          <w:rFonts w:hint="eastAsia" w:ascii="仿宋" w:hAnsi="仿宋" w:eastAsia="仿宋" w:cs="仿宋"/>
          <w:color w:val="000000"/>
          <w:sz w:val="32"/>
          <w:szCs w:val="32"/>
        </w:rPr>
        <w:t>将</w:t>
      </w:r>
      <w:r>
        <w:rPr>
          <w:rFonts w:hint="eastAsia" w:ascii="仿宋" w:hAnsi="仿宋" w:eastAsia="仿宋" w:cs="仿宋"/>
          <w:color w:val="000000"/>
          <w:sz w:val="32"/>
          <w:szCs w:val="32"/>
          <w:lang w:val="en-US" w:eastAsia="zh-CN"/>
        </w:rPr>
        <w:t>6251111.94元予以下达，</w:t>
      </w:r>
      <w:r>
        <w:rPr>
          <w:rFonts w:hint="eastAsia" w:ascii="仿宋_GB2312" w:hAnsi="仿宋_GB2312" w:eastAsia="仿宋_GB2312" w:cs="仿宋_GB2312"/>
          <w:sz w:val="32"/>
          <w:szCs w:val="32"/>
        </w:rPr>
        <w:t>具体如下：</w:t>
      </w:r>
    </w:p>
    <w:p>
      <w:pPr>
        <w:numPr>
          <w:ilvl w:val="0"/>
          <w:numId w:val="1"/>
        </w:numPr>
        <w:spacing w:line="580" w:lineRule="exact"/>
        <w:ind w:firstLine="640" w:firstLineChars="200"/>
        <w:rPr>
          <w:rFonts w:hint="eastAsia" w:ascii="Times New Roman" w:hAnsi="Times New Roman" w:eastAsia="仿宋_GB2312"/>
          <w:sz w:val="32"/>
          <w:szCs w:val="32"/>
          <w:lang w:val="en-US" w:eastAsia="zh-CN"/>
        </w:rPr>
      </w:pPr>
      <w:r>
        <w:rPr>
          <w:rFonts w:hint="eastAsia" w:ascii="仿宋_GB2312" w:hAnsi="仿宋_GB2312" w:eastAsia="仿宋_GB2312" w:cs="仿宋_GB2312"/>
          <w:bCs/>
          <w:color w:val="auto"/>
          <w:sz w:val="32"/>
          <w:szCs w:val="32"/>
          <w:lang w:eastAsia="zh-CN"/>
        </w:rPr>
        <w:t>下达</w:t>
      </w:r>
      <w:r>
        <w:rPr>
          <w:rFonts w:hint="eastAsia" w:ascii="仿宋_GB2312" w:hAnsi="仿宋_GB2312" w:eastAsia="仿宋_GB2312" w:cs="仿宋_GB2312"/>
          <w:sz w:val="32"/>
          <w:szCs w:val="32"/>
          <w:lang w:eastAsia="zh-CN"/>
        </w:rPr>
        <w:t>白沙镇高岭村谷子种植</w:t>
      </w:r>
      <w:r>
        <w:rPr>
          <w:rFonts w:hint="eastAsia" w:ascii="仿宋_GB2312" w:hAnsi="仿宋_GB2312" w:eastAsia="仿宋_GB2312" w:cs="仿宋_GB2312"/>
          <w:bCs/>
          <w:color w:val="auto"/>
          <w:sz w:val="32"/>
          <w:szCs w:val="32"/>
          <w:lang w:val="en-US" w:eastAsia="zh-CN"/>
        </w:rPr>
        <w:t>等6个项目资金</w:t>
      </w:r>
      <w:r>
        <w:rPr>
          <w:rFonts w:hint="eastAsia" w:ascii="仿宋" w:hAnsi="仿宋" w:eastAsia="仿宋" w:cs="仿宋"/>
          <w:color w:val="000000"/>
          <w:sz w:val="32"/>
          <w:szCs w:val="32"/>
          <w:lang w:val="en-US" w:eastAsia="zh-CN"/>
        </w:rPr>
        <w:t>6251111.94</w:t>
      </w:r>
      <w:r>
        <w:rPr>
          <w:rFonts w:hint="eastAsia" w:ascii="仿宋_GB2312" w:hAnsi="仿宋_GB2312" w:eastAsia="仿宋_GB2312" w:cs="仿宋_GB2312"/>
          <w:sz w:val="32"/>
          <w:szCs w:val="32"/>
          <w:lang w:val="en-US" w:eastAsia="zh-CN"/>
        </w:rPr>
        <w:t>元。</w:t>
      </w:r>
      <w:r>
        <w:rPr>
          <w:rFonts w:hint="eastAsia" w:ascii="Times New Roman" w:hAnsi="Times New Roman" w:eastAsia="仿宋_GB2312"/>
          <w:sz w:val="32"/>
          <w:szCs w:val="32"/>
          <w:lang w:val="en-US" w:eastAsia="zh-CN"/>
        </w:rPr>
        <w:t>（详见附表）</w:t>
      </w:r>
    </w:p>
    <w:p>
      <w:pPr>
        <w:numPr>
          <w:ilvl w:val="0"/>
          <w:numId w:val="1"/>
        </w:num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县农业农村局、水利局、彭婆镇、白沙镇、吕店镇、平等乡要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0"/>
        </w:num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 w:hAnsi="仿宋" w:eastAsia="仿宋" w:cs="仿宋"/>
          <w:bCs/>
          <w:sz w:val="32"/>
          <w:szCs w:val="32"/>
          <w:lang w:val="en-US" w:eastAsia="zh-CN"/>
        </w:rPr>
        <w:t>三、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附件1：</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eastAsia="zh-CN"/>
        </w:rPr>
        <w:t>十一</w:t>
      </w:r>
      <w:r>
        <w:rPr>
          <w:rFonts w:hint="eastAsia" w:ascii="仿宋_GB2312" w:hAnsi="仿宋_GB2312" w:eastAsia="仿宋_GB2312" w:cs="仿宋_GB2312"/>
          <w:bCs/>
          <w:sz w:val="32"/>
          <w:szCs w:val="32"/>
        </w:rPr>
        <w:t>批</w:t>
      </w:r>
      <w:r>
        <w:rPr>
          <w:rFonts w:hint="eastAsia" w:ascii="仿宋_GB2312" w:hAnsi="仿宋_GB2312" w:eastAsia="仿宋_GB2312" w:cs="仿宋_GB2312"/>
          <w:bCs/>
          <w:sz w:val="32"/>
          <w:szCs w:val="32"/>
          <w:lang w:eastAsia="zh-CN"/>
        </w:rPr>
        <w:t>衔接资金</w:t>
      </w:r>
      <w:r>
        <w:rPr>
          <w:rFonts w:hint="eastAsia" w:ascii="仿宋_GB2312" w:hAnsi="仿宋_GB2312" w:eastAsia="仿宋_GB2312" w:cs="仿宋_GB2312"/>
          <w:bCs/>
          <w:sz w:val="32"/>
          <w:szCs w:val="32"/>
        </w:rPr>
        <w:t>项目分配表</w:t>
      </w:r>
    </w:p>
    <w:p>
      <w:pPr>
        <w:pStyle w:val="11"/>
        <w:rPr>
          <w:rFonts w:hint="eastAsia"/>
        </w:rPr>
      </w:pPr>
    </w:p>
    <w:p>
      <w:pPr>
        <w:pStyle w:val="11"/>
        <w:rPr>
          <w:rFonts w:hint="eastAsia"/>
        </w:rPr>
      </w:pPr>
    </w:p>
    <w:p>
      <w:pPr>
        <w:pStyle w:val="11"/>
        <w:rPr>
          <w:rFonts w:hint="eastAsia"/>
        </w:rPr>
      </w:pPr>
    </w:p>
    <w:p>
      <w:pPr>
        <w:pStyle w:val="11"/>
        <w:rPr>
          <w:rFonts w:hint="default" w:eastAsia="仿宋_GB2312"/>
          <w:b w:val="0"/>
          <w:bCs/>
          <w:lang w:val="en-US" w:eastAsia="zh-CN"/>
        </w:rPr>
      </w:pPr>
      <w:r>
        <w:rPr>
          <w:rFonts w:hint="eastAsia" w:ascii="仿宋_GB2312" w:hAnsi="仿宋_GB2312" w:eastAsia="仿宋_GB2312" w:cs="仿宋_GB2312"/>
          <w:bCs/>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p>
    <w:p>
      <w:pPr>
        <w:wordWrap w:val="0"/>
        <w:spacing w:line="580" w:lineRule="exact"/>
        <w:ind w:firstLine="640" w:firstLineChars="200"/>
        <w:jc w:val="right"/>
        <w:rPr>
          <w:rFonts w:ascii="仿宋_GB2312" w:hAnsi="仿宋_GB2312" w:eastAsia="仿宋_GB2312" w:cs="仿宋_GB2312"/>
          <w:sz w:val="32"/>
          <w:szCs w:val="32"/>
        </w:rPr>
      </w:pPr>
    </w:p>
    <w:p>
      <w:pPr>
        <w:spacing w:line="58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jc w:val="center"/>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tbl>
      <w:tblPr>
        <w:tblStyle w:val="8"/>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3" w:type="default"/>
      <w:pgSz w:w="11906" w:h="16838"/>
      <w:pgMar w:top="1984" w:right="1587" w:bottom="1701"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fc+G9IAAAADAQAADwAAAAAAAAABACAAAAAiAAAAZHJzL2Rvd25yZXYueG1sUEsBAhQA&#10;FAAAAAgAh07iQPSBmZ8xAgAAUwQAAA4AAAAAAAAAAQAgAAAAIQEAAGRycy9lMm9Eb2MueG1sUEsF&#10;BgAAAAAGAAYAWQEAAMQFA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A2FC56"/>
    <w:multiLevelType w:val="singleLevel"/>
    <w:tmpl w:val="43A2FC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21F07B1"/>
    <w:rsid w:val="02754D72"/>
    <w:rsid w:val="030A41F8"/>
    <w:rsid w:val="037C583F"/>
    <w:rsid w:val="03B6348F"/>
    <w:rsid w:val="04693C4E"/>
    <w:rsid w:val="047848CB"/>
    <w:rsid w:val="048309CA"/>
    <w:rsid w:val="04904FA7"/>
    <w:rsid w:val="0569577F"/>
    <w:rsid w:val="05B42E9A"/>
    <w:rsid w:val="05DD1F2C"/>
    <w:rsid w:val="066761DB"/>
    <w:rsid w:val="07F94CD8"/>
    <w:rsid w:val="080518B2"/>
    <w:rsid w:val="08176D67"/>
    <w:rsid w:val="099B3D15"/>
    <w:rsid w:val="0A7902E7"/>
    <w:rsid w:val="0A9633BE"/>
    <w:rsid w:val="0B1F04F1"/>
    <w:rsid w:val="0D2349E0"/>
    <w:rsid w:val="0D884570"/>
    <w:rsid w:val="0DFA5B87"/>
    <w:rsid w:val="0DFB4B3D"/>
    <w:rsid w:val="0F7871F8"/>
    <w:rsid w:val="0FC64F44"/>
    <w:rsid w:val="10E072B6"/>
    <w:rsid w:val="11896889"/>
    <w:rsid w:val="129760A8"/>
    <w:rsid w:val="1298748F"/>
    <w:rsid w:val="13163094"/>
    <w:rsid w:val="137B303F"/>
    <w:rsid w:val="142D0D9F"/>
    <w:rsid w:val="145232C8"/>
    <w:rsid w:val="148937C0"/>
    <w:rsid w:val="14F50DA4"/>
    <w:rsid w:val="14F70077"/>
    <w:rsid w:val="16264B28"/>
    <w:rsid w:val="166B776B"/>
    <w:rsid w:val="16A43751"/>
    <w:rsid w:val="17E11EA2"/>
    <w:rsid w:val="18B403CE"/>
    <w:rsid w:val="19692900"/>
    <w:rsid w:val="1B627B13"/>
    <w:rsid w:val="1C1A6D3B"/>
    <w:rsid w:val="1D141803"/>
    <w:rsid w:val="1D70551D"/>
    <w:rsid w:val="1D8820D5"/>
    <w:rsid w:val="1DCA77B8"/>
    <w:rsid w:val="1DE33F41"/>
    <w:rsid w:val="1F0A1899"/>
    <w:rsid w:val="1F2F403C"/>
    <w:rsid w:val="204F313A"/>
    <w:rsid w:val="205F59D0"/>
    <w:rsid w:val="21024E0E"/>
    <w:rsid w:val="21DE339D"/>
    <w:rsid w:val="229121BE"/>
    <w:rsid w:val="239105D5"/>
    <w:rsid w:val="24763D61"/>
    <w:rsid w:val="24ED38F7"/>
    <w:rsid w:val="27692073"/>
    <w:rsid w:val="27740131"/>
    <w:rsid w:val="28BE7A85"/>
    <w:rsid w:val="29FD638B"/>
    <w:rsid w:val="2B04264B"/>
    <w:rsid w:val="2B6C1A1A"/>
    <w:rsid w:val="2BCB379A"/>
    <w:rsid w:val="2BD338DE"/>
    <w:rsid w:val="2BEB1FDF"/>
    <w:rsid w:val="2DA72612"/>
    <w:rsid w:val="2DB63A39"/>
    <w:rsid w:val="2DF87595"/>
    <w:rsid w:val="2E163979"/>
    <w:rsid w:val="2E24646E"/>
    <w:rsid w:val="2F524B24"/>
    <w:rsid w:val="318F119B"/>
    <w:rsid w:val="323A3FB6"/>
    <w:rsid w:val="3324010F"/>
    <w:rsid w:val="3353526D"/>
    <w:rsid w:val="345B70DA"/>
    <w:rsid w:val="34DF5286"/>
    <w:rsid w:val="370B28B9"/>
    <w:rsid w:val="378679C0"/>
    <w:rsid w:val="381C1B99"/>
    <w:rsid w:val="384D4981"/>
    <w:rsid w:val="38940F06"/>
    <w:rsid w:val="38F202B5"/>
    <w:rsid w:val="39673821"/>
    <w:rsid w:val="3AE77773"/>
    <w:rsid w:val="3B9921EB"/>
    <w:rsid w:val="3BCD2D43"/>
    <w:rsid w:val="3C4A67EF"/>
    <w:rsid w:val="3C7F4645"/>
    <w:rsid w:val="3D2D77FD"/>
    <w:rsid w:val="3D2E2FD3"/>
    <w:rsid w:val="3D7A7FC6"/>
    <w:rsid w:val="3EA33A1A"/>
    <w:rsid w:val="3EA61729"/>
    <w:rsid w:val="3EE50AEA"/>
    <w:rsid w:val="40663F04"/>
    <w:rsid w:val="407F62A0"/>
    <w:rsid w:val="40890521"/>
    <w:rsid w:val="40CD415E"/>
    <w:rsid w:val="41173D1A"/>
    <w:rsid w:val="41903CF6"/>
    <w:rsid w:val="422C5607"/>
    <w:rsid w:val="428C3121"/>
    <w:rsid w:val="42A41642"/>
    <w:rsid w:val="433810BE"/>
    <w:rsid w:val="45284B01"/>
    <w:rsid w:val="45674829"/>
    <w:rsid w:val="47523D62"/>
    <w:rsid w:val="475923DC"/>
    <w:rsid w:val="49A62143"/>
    <w:rsid w:val="4A3C7922"/>
    <w:rsid w:val="4ACD636B"/>
    <w:rsid w:val="4B4A399F"/>
    <w:rsid w:val="4B5767AE"/>
    <w:rsid w:val="4C2872FD"/>
    <w:rsid w:val="4D0D37E8"/>
    <w:rsid w:val="4D0F442E"/>
    <w:rsid w:val="4DB17948"/>
    <w:rsid w:val="4EAD6F8E"/>
    <w:rsid w:val="4F413A95"/>
    <w:rsid w:val="4FB02649"/>
    <w:rsid w:val="4FD24E5F"/>
    <w:rsid w:val="516271A9"/>
    <w:rsid w:val="51840FBC"/>
    <w:rsid w:val="51967E34"/>
    <w:rsid w:val="51C23892"/>
    <w:rsid w:val="51CA1FB1"/>
    <w:rsid w:val="52123A5A"/>
    <w:rsid w:val="521A071F"/>
    <w:rsid w:val="530572E6"/>
    <w:rsid w:val="53770FA7"/>
    <w:rsid w:val="538854FD"/>
    <w:rsid w:val="54B9105D"/>
    <w:rsid w:val="551548AB"/>
    <w:rsid w:val="557305CA"/>
    <w:rsid w:val="56081C71"/>
    <w:rsid w:val="56205006"/>
    <w:rsid w:val="565207EC"/>
    <w:rsid w:val="567D5FDA"/>
    <w:rsid w:val="59503A1A"/>
    <w:rsid w:val="59AB5A05"/>
    <w:rsid w:val="5B7025B1"/>
    <w:rsid w:val="5CD25094"/>
    <w:rsid w:val="5D3E5434"/>
    <w:rsid w:val="5D423C91"/>
    <w:rsid w:val="5D9B4FE1"/>
    <w:rsid w:val="5DF07810"/>
    <w:rsid w:val="5EBF0CE7"/>
    <w:rsid w:val="5F742670"/>
    <w:rsid w:val="60187D0B"/>
    <w:rsid w:val="60C6611D"/>
    <w:rsid w:val="60CC64DC"/>
    <w:rsid w:val="61743760"/>
    <w:rsid w:val="61D373F6"/>
    <w:rsid w:val="61DC53E8"/>
    <w:rsid w:val="627B5AC3"/>
    <w:rsid w:val="62C642C8"/>
    <w:rsid w:val="62CF2AD8"/>
    <w:rsid w:val="62D741A0"/>
    <w:rsid w:val="639A711C"/>
    <w:rsid w:val="63B22607"/>
    <w:rsid w:val="64F97173"/>
    <w:rsid w:val="655B1BDC"/>
    <w:rsid w:val="66D32D1F"/>
    <w:rsid w:val="67B457F0"/>
    <w:rsid w:val="67F97B02"/>
    <w:rsid w:val="68040309"/>
    <w:rsid w:val="696372B1"/>
    <w:rsid w:val="69C556DC"/>
    <w:rsid w:val="6A0675FC"/>
    <w:rsid w:val="6A5B6767"/>
    <w:rsid w:val="6A905171"/>
    <w:rsid w:val="6ABF405B"/>
    <w:rsid w:val="6B1F4868"/>
    <w:rsid w:val="6BC56001"/>
    <w:rsid w:val="6C3D028D"/>
    <w:rsid w:val="6C6A456F"/>
    <w:rsid w:val="6CBE13CE"/>
    <w:rsid w:val="6CF8086E"/>
    <w:rsid w:val="6D361187"/>
    <w:rsid w:val="6EA066E5"/>
    <w:rsid w:val="6EDF492B"/>
    <w:rsid w:val="6FE54EC4"/>
    <w:rsid w:val="6FE81534"/>
    <w:rsid w:val="6FF95CCA"/>
    <w:rsid w:val="710B095A"/>
    <w:rsid w:val="71B82978"/>
    <w:rsid w:val="720854ED"/>
    <w:rsid w:val="73593BFF"/>
    <w:rsid w:val="73E927EE"/>
    <w:rsid w:val="73ED1B12"/>
    <w:rsid w:val="74477EFB"/>
    <w:rsid w:val="7462740B"/>
    <w:rsid w:val="747252C4"/>
    <w:rsid w:val="7483352F"/>
    <w:rsid w:val="74AC5E7A"/>
    <w:rsid w:val="74F8638E"/>
    <w:rsid w:val="756010C7"/>
    <w:rsid w:val="761E061B"/>
    <w:rsid w:val="76CF4937"/>
    <w:rsid w:val="77043E82"/>
    <w:rsid w:val="77094C32"/>
    <w:rsid w:val="77883F14"/>
    <w:rsid w:val="77BB2B47"/>
    <w:rsid w:val="78D76DD5"/>
    <w:rsid w:val="79E61F64"/>
    <w:rsid w:val="7A344A7E"/>
    <w:rsid w:val="7A716B70"/>
    <w:rsid w:val="7AA71B91"/>
    <w:rsid w:val="7C6D60C7"/>
    <w:rsid w:val="7CAE6CB7"/>
    <w:rsid w:val="7D622C5C"/>
    <w:rsid w:val="7D7C0783"/>
    <w:rsid w:val="7E1A7890"/>
    <w:rsid w:val="7EF90D73"/>
    <w:rsid w:val="7F0F5A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Cs w:val="24"/>
    </w:rPr>
  </w:style>
  <w:style w:type="paragraph" w:styleId="3">
    <w:name w:val="Date"/>
    <w:basedOn w:val="1"/>
    <w:next w:val="1"/>
    <w:link w:val="18"/>
    <w:unhideWhenUsed/>
    <w:qFormat/>
    <w:uiPriority w:val="99"/>
    <w:pPr>
      <w:ind w:left="100" w:leftChars="250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1">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2">
    <w:name w:val="reader-word-layer"/>
    <w:basedOn w:val="1"/>
    <w:qFormat/>
    <w:uiPriority w:val="0"/>
    <w:pPr>
      <w:widowControl/>
      <w:spacing w:before="100" w:beforeAutospacing="1" w:after="100" w:afterAutospacing="1"/>
    </w:pPr>
    <w:rPr>
      <w:rFonts w:ascii="宋体" w:hAnsi="宋体"/>
      <w:kern w:val="0"/>
      <w:sz w:val="24"/>
      <w:szCs w:val="24"/>
    </w:rPr>
  </w:style>
  <w:style w:type="character" w:customStyle="1" w:styleId="13">
    <w:name w:val="页眉 字符"/>
    <w:basedOn w:val="9"/>
    <w:link w:val="6"/>
    <w:qFormat/>
    <w:uiPriority w:val="99"/>
    <w:rPr>
      <w:rFonts w:ascii="Calibri" w:hAnsi="Calibri" w:eastAsia="宋体" w:cs="Times New Roman"/>
      <w:kern w:val="2"/>
      <w:sz w:val="18"/>
      <w:szCs w:val="18"/>
    </w:rPr>
  </w:style>
  <w:style w:type="character" w:customStyle="1" w:styleId="14">
    <w:name w:val="页脚 字符"/>
    <w:basedOn w:val="9"/>
    <w:link w:val="5"/>
    <w:semiHidden/>
    <w:qFormat/>
    <w:uiPriority w:val="99"/>
    <w:rPr>
      <w:rFonts w:ascii="Calibri" w:hAnsi="Calibri" w:eastAsia="宋体" w:cs="Times New Roman"/>
      <w:kern w:val="2"/>
      <w:sz w:val="18"/>
      <w:szCs w:val="18"/>
    </w:rPr>
  </w:style>
  <w:style w:type="paragraph" w:customStyle="1" w:styleId="15">
    <w:name w:val="列表段落1"/>
    <w:basedOn w:val="1"/>
    <w:qFormat/>
    <w:uiPriority w:val="99"/>
    <w:pPr>
      <w:ind w:firstLine="420" w:firstLineChars="200"/>
    </w:pPr>
  </w:style>
  <w:style w:type="character" w:customStyle="1" w:styleId="16">
    <w:name w:val="批注框文本 字符"/>
    <w:basedOn w:val="9"/>
    <w:link w:val="4"/>
    <w:semiHidden/>
    <w:qFormat/>
    <w:uiPriority w:val="99"/>
    <w:rPr>
      <w:rFonts w:ascii="Calibri" w:hAnsi="Calibri"/>
      <w:kern w:val="2"/>
      <w:sz w:val="18"/>
      <w:szCs w:val="18"/>
    </w:rPr>
  </w:style>
  <w:style w:type="paragraph" w:customStyle="1" w:styleId="17">
    <w:name w:val="列表段落2"/>
    <w:basedOn w:val="1"/>
    <w:qFormat/>
    <w:uiPriority w:val="99"/>
    <w:pPr>
      <w:ind w:firstLine="420" w:firstLineChars="200"/>
    </w:pPr>
  </w:style>
  <w:style w:type="character" w:customStyle="1" w:styleId="18">
    <w:name w:val="日期 字符"/>
    <w:basedOn w:val="9"/>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950</Words>
  <Characters>1077</Characters>
  <Lines>12</Lines>
  <Paragraphs>3</Paragraphs>
  <TotalTime>0</TotalTime>
  <ScaleCrop>false</ScaleCrop>
  <LinksUpToDate>false</LinksUpToDate>
  <CharactersWithSpaces>1107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Administrator</cp:lastModifiedBy>
  <cp:lastPrinted>2022-06-17T03:02:00Z</cp:lastPrinted>
  <dcterms:modified xsi:type="dcterms:W3CDTF">2022-06-21T08:07:13Z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A1721B3ADD3B4512AB57E8D2B284EEE9</vt:lpwstr>
  </property>
</Properties>
</file>