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伊川县财政局</w:t>
      </w: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关于下达2022年第四批衔接推进乡村振兴</w:t>
      </w: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资金的通知</w:t>
      </w:r>
    </w:p>
    <w:p>
      <w:pPr>
        <w:spacing w:line="580" w:lineRule="exact"/>
        <w:jc w:val="left"/>
        <w:rPr>
          <w:rFonts w:hint="eastAsia" w:ascii="仿宋_GB2312" w:hAnsi="仿宋_GB2312" w:eastAsia="仿宋_GB2312" w:cs="仿宋_GB2312"/>
          <w:b/>
          <w:bCs/>
          <w:sz w:val="32"/>
          <w:szCs w:val="32"/>
          <w:lang w:eastAsia="zh-CN"/>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农业农村局、各乡镇（街道）</w:t>
      </w:r>
      <w:r>
        <w:rPr>
          <w:rFonts w:hint="eastAsia" w:ascii="仿宋_GB2312" w:hAnsi="仿宋_GB2312" w:eastAsia="仿宋_GB2312" w:cs="仿宋_GB2312"/>
          <w:b/>
          <w:sz w:val="32"/>
          <w:szCs w:val="32"/>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lang w:val="en-US" w:eastAsia="zh-CN"/>
        </w:rPr>
        <w:t>2022年伊川县优质红薯谷子种苗补贴项目立项暨资金分配意见的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37</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关于下达2022年伊川县半坡镇刘窑村中药材种植项目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47</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2022年伊川县平等乡马庄村村集体经济发展等项目立项</w:t>
      </w:r>
      <w:r>
        <w:rPr>
          <w:rFonts w:hint="eastAsia" w:ascii="仿宋_GB2312" w:hAnsi="仿宋_GB2312" w:eastAsia="仿宋_GB2312" w:cs="仿宋_GB2312"/>
          <w:sz w:val="32"/>
          <w:szCs w:val="32"/>
          <w:lang w:val="en-US" w:eastAsia="zh-CN"/>
        </w:rPr>
        <w:t>暨资金分配意见的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49</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2022年伊川县</w:t>
      </w:r>
      <w:r>
        <w:rPr>
          <w:rFonts w:hint="eastAsia" w:ascii="仿宋_GB2312" w:hAnsi="仿宋_GB2312" w:eastAsia="仿宋_GB2312" w:cs="仿宋_GB2312"/>
          <w:sz w:val="32"/>
          <w:szCs w:val="32"/>
          <w:lang w:eastAsia="zh-CN"/>
        </w:rPr>
        <w:t>江左镇江左村</w:t>
      </w:r>
      <w:r>
        <w:rPr>
          <w:rFonts w:hint="eastAsia" w:ascii="仿宋_GB2312" w:hAnsi="仿宋_GB2312" w:eastAsia="仿宋_GB2312" w:cs="仿宋_GB2312"/>
          <w:sz w:val="32"/>
          <w:szCs w:val="32"/>
        </w:rPr>
        <w:t>村集体经济发展等项目立项</w:t>
      </w:r>
      <w:r>
        <w:rPr>
          <w:rFonts w:hint="eastAsia" w:ascii="仿宋_GB2312" w:hAnsi="仿宋_GB2312" w:eastAsia="仿宋_GB2312" w:cs="仿宋_GB2312"/>
          <w:sz w:val="32"/>
          <w:szCs w:val="32"/>
          <w:lang w:val="en-US" w:eastAsia="zh-CN"/>
        </w:rPr>
        <w:t>暨资金分配意见的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50</w:t>
      </w:r>
      <w:r>
        <w:rPr>
          <w:rFonts w:hint="eastAsia" w:ascii="Times New Roman" w:hAnsi="Times New Roman" w:eastAsia="仿宋_GB2312"/>
          <w:sz w:val="32"/>
          <w:szCs w:val="32"/>
        </w:rPr>
        <w:t>号文件</w:t>
      </w:r>
      <w:r>
        <w:rPr>
          <w:rFonts w:hint="eastAsia" w:ascii="Times New Roman" w:hAnsi="Times New Roman" w:eastAsia="仿宋_GB2312"/>
          <w:sz w:val="32"/>
          <w:szCs w:val="32"/>
          <w:lang w:eastAsia="zh-CN"/>
        </w:rPr>
        <w:t>要求，</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仿宋" w:hAnsi="仿宋" w:eastAsia="仿宋" w:cs="仿宋"/>
          <w:color w:val="000000"/>
          <w:sz w:val="32"/>
          <w:szCs w:val="32"/>
          <w:lang w:val="en-US" w:eastAsia="zh-CN"/>
        </w:rPr>
        <w:t>21493795.87元予以下达，</w:t>
      </w:r>
      <w:r>
        <w:rPr>
          <w:rFonts w:hint="eastAsia" w:ascii="仿宋_GB2312" w:hAnsi="仿宋_GB2312" w:eastAsia="仿宋_GB2312" w:cs="仿宋_GB2312"/>
          <w:sz w:val="32"/>
          <w:szCs w:val="32"/>
        </w:rPr>
        <w:t>具体如下：</w:t>
      </w:r>
    </w:p>
    <w:p>
      <w:pPr>
        <w:numPr>
          <w:ilvl w:val="0"/>
          <w:numId w:val="1"/>
        </w:numPr>
        <w:spacing w:line="58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Cs/>
          <w:color w:val="auto"/>
          <w:sz w:val="32"/>
          <w:szCs w:val="32"/>
          <w:lang w:eastAsia="zh-CN"/>
        </w:rPr>
        <w:t>下达各乡镇</w:t>
      </w:r>
      <w:r>
        <w:rPr>
          <w:rFonts w:hint="eastAsia" w:ascii="仿宋_GB2312" w:hAnsi="仿宋_GB2312" w:eastAsia="仿宋_GB2312" w:cs="仿宋_GB2312"/>
          <w:sz w:val="32"/>
          <w:szCs w:val="32"/>
        </w:rPr>
        <w:t>村集体经济发展</w:t>
      </w:r>
      <w:r>
        <w:rPr>
          <w:rFonts w:hint="eastAsia" w:ascii="仿宋_GB2312" w:hAnsi="仿宋_GB2312" w:eastAsia="仿宋_GB2312" w:cs="仿宋_GB2312"/>
          <w:sz w:val="32"/>
          <w:szCs w:val="32"/>
          <w:lang w:eastAsia="zh-CN"/>
        </w:rPr>
        <w:t>项目资金</w:t>
      </w:r>
      <w:r>
        <w:rPr>
          <w:rFonts w:hint="eastAsia" w:ascii="仿宋_GB2312" w:hAnsi="仿宋_GB2312" w:eastAsia="仿宋_GB2312" w:cs="仿宋_GB2312"/>
          <w:sz w:val="32"/>
          <w:szCs w:val="32"/>
          <w:lang w:val="en-US" w:eastAsia="zh-CN"/>
        </w:rPr>
        <w:t>15000000元</w:t>
      </w:r>
      <w:r>
        <w:rPr>
          <w:rFonts w:hint="eastAsia" w:ascii="Times New Roman" w:hAnsi="Times New Roman" w:eastAsia="仿宋_GB2312"/>
          <w:sz w:val="32"/>
          <w:szCs w:val="32"/>
          <w:lang w:val="en-US" w:eastAsia="zh-CN"/>
        </w:rPr>
        <w:t>、农业农村局优质红薯、谷子种苗补贴项目资金60</w:t>
      </w:r>
      <w:bookmarkStart w:id="0" w:name="_GoBack"/>
      <w:bookmarkEnd w:id="0"/>
      <w:r>
        <w:rPr>
          <w:rFonts w:hint="eastAsia" w:ascii="Times New Roman" w:hAnsi="Times New Roman" w:eastAsia="仿宋_GB2312"/>
          <w:sz w:val="32"/>
          <w:szCs w:val="32"/>
          <w:lang w:val="en-US" w:eastAsia="zh-CN"/>
        </w:rPr>
        <w:t>00000元、半坡镇刘窑村中药材种植项目项目资金493795.87元（详见附表）</w:t>
      </w:r>
    </w:p>
    <w:p>
      <w:pPr>
        <w:numPr>
          <w:ilvl w:val="0"/>
          <w:numId w:val="1"/>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县农业农村局、各乡镇（街道）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pStyle w:val="11"/>
        <w:rPr>
          <w:rFonts w:hint="eastAsia"/>
        </w:rPr>
      </w:pPr>
    </w:p>
    <w:p>
      <w:pPr>
        <w:pStyle w:val="11"/>
        <w:rPr>
          <w:rFonts w:hint="eastAsia"/>
        </w:rPr>
      </w:pPr>
    </w:p>
    <w:p>
      <w:pPr>
        <w:pStyle w:val="11"/>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tbl>
      <w:tblPr>
        <w:tblStyle w:val="9"/>
        <w:tblpPr w:leftFromText="180" w:rightFromText="180" w:vertAnchor="text" w:horzAnchor="page" w:tblpX="1606" w:tblpY="10593"/>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FC56"/>
    <w:multiLevelType w:val="singleLevel"/>
    <w:tmpl w:val="43A2F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21F07B1"/>
    <w:rsid w:val="037C583F"/>
    <w:rsid w:val="04693C4E"/>
    <w:rsid w:val="048309CA"/>
    <w:rsid w:val="0569577F"/>
    <w:rsid w:val="05B42E9A"/>
    <w:rsid w:val="05DD1F2C"/>
    <w:rsid w:val="066761DB"/>
    <w:rsid w:val="07F94CD8"/>
    <w:rsid w:val="080518B2"/>
    <w:rsid w:val="08176D67"/>
    <w:rsid w:val="099B3D15"/>
    <w:rsid w:val="0A7902E7"/>
    <w:rsid w:val="0A9633BE"/>
    <w:rsid w:val="0D2349E0"/>
    <w:rsid w:val="0D884570"/>
    <w:rsid w:val="0DFA5B87"/>
    <w:rsid w:val="0DFB4B3D"/>
    <w:rsid w:val="0F7871F8"/>
    <w:rsid w:val="0FC64F44"/>
    <w:rsid w:val="10E072B6"/>
    <w:rsid w:val="11896889"/>
    <w:rsid w:val="129760A8"/>
    <w:rsid w:val="1298748F"/>
    <w:rsid w:val="137B303F"/>
    <w:rsid w:val="145232C8"/>
    <w:rsid w:val="16264B28"/>
    <w:rsid w:val="16A43751"/>
    <w:rsid w:val="17E11EA2"/>
    <w:rsid w:val="18B403CE"/>
    <w:rsid w:val="19692900"/>
    <w:rsid w:val="1B627B13"/>
    <w:rsid w:val="1C1A6D3B"/>
    <w:rsid w:val="1D141803"/>
    <w:rsid w:val="1D8820D5"/>
    <w:rsid w:val="1DCA77B8"/>
    <w:rsid w:val="1F0A1899"/>
    <w:rsid w:val="204F313A"/>
    <w:rsid w:val="205F59D0"/>
    <w:rsid w:val="21024E0E"/>
    <w:rsid w:val="229121BE"/>
    <w:rsid w:val="239105D5"/>
    <w:rsid w:val="24763D61"/>
    <w:rsid w:val="27692073"/>
    <w:rsid w:val="27740131"/>
    <w:rsid w:val="28BE7A85"/>
    <w:rsid w:val="2B04264B"/>
    <w:rsid w:val="2BCB379A"/>
    <w:rsid w:val="2BD338DE"/>
    <w:rsid w:val="2BEB1FDF"/>
    <w:rsid w:val="2DA72612"/>
    <w:rsid w:val="2DB63A39"/>
    <w:rsid w:val="2E163979"/>
    <w:rsid w:val="2F524B24"/>
    <w:rsid w:val="318F119B"/>
    <w:rsid w:val="323A3FB6"/>
    <w:rsid w:val="3324010F"/>
    <w:rsid w:val="3353526D"/>
    <w:rsid w:val="345B70DA"/>
    <w:rsid w:val="34DF5286"/>
    <w:rsid w:val="370B28B9"/>
    <w:rsid w:val="381C1B99"/>
    <w:rsid w:val="384D4981"/>
    <w:rsid w:val="38940F06"/>
    <w:rsid w:val="3AE77773"/>
    <w:rsid w:val="3B9921EB"/>
    <w:rsid w:val="3BCD2D43"/>
    <w:rsid w:val="3C4A67EF"/>
    <w:rsid w:val="3C7F4645"/>
    <w:rsid w:val="3D2D77FD"/>
    <w:rsid w:val="3D2E2FD3"/>
    <w:rsid w:val="3EA33A1A"/>
    <w:rsid w:val="3EA61729"/>
    <w:rsid w:val="3EE50AEA"/>
    <w:rsid w:val="40663F04"/>
    <w:rsid w:val="407F62A0"/>
    <w:rsid w:val="40CD415E"/>
    <w:rsid w:val="41173D1A"/>
    <w:rsid w:val="41903CF6"/>
    <w:rsid w:val="433810BE"/>
    <w:rsid w:val="45284B01"/>
    <w:rsid w:val="45674829"/>
    <w:rsid w:val="47523D62"/>
    <w:rsid w:val="475923DC"/>
    <w:rsid w:val="49A62143"/>
    <w:rsid w:val="4A3C7922"/>
    <w:rsid w:val="4ACD636B"/>
    <w:rsid w:val="4B5767AE"/>
    <w:rsid w:val="4C2872FD"/>
    <w:rsid w:val="4D0F442E"/>
    <w:rsid w:val="4DB17948"/>
    <w:rsid w:val="4EAD6F8E"/>
    <w:rsid w:val="4FB02649"/>
    <w:rsid w:val="4FD24E5F"/>
    <w:rsid w:val="516271A9"/>
    <w:rsid w:val="51967E34"/>
    <w:rsid w:val="51CA1FB1"/>
    <w:rsid w:val="52123A5A"/>
    <w:rsid w:val="521A071F"/>
    <w:rsid w:val="530572E6"/>
    <w:rsid w:val="53770FA7"/>
    <w:rsid w:val="538854FD"/>
    <w:rsid w:val="54B9105D"/>
    <w:rsid w:val="551548AB"/>
    <w:rsid w:val="557305CA"/>
    <w:rsid w:val="56205006"/>
    <w:rsid w:val="565207EC"/>
    <w:rsid w:val="59503A1A"/>
    <w:rsid w:val="59AB5A05"/>
    <w:rsid w:val="5B7025B1"/>
    <w:rsid w:val="5CD25094"/>
    <w:rsid w:val="5D3E5434"/>
    <w:rsid w:val="5D423C91"/>
    <w:rsid w:val="5EBF0CE7"/>
    <w:rsid w:val="5F742670"/>
    <w:rsid w:val="60187D0B"/>
    <w:rsid w:val="60C6611D"/>
    <w:rsid w:val="60CC64DC"/>
    <w:rsid w:val="61743760"/>
    <w:rsid w:val="61DC53E8"/>
    <w:rsid w:val="627B5AC3"/>
    <w:rsid w:val="62D741A0"/>
    <w:rsid w:val="639A711C"/>
    <w:rsid w:val="63B22607"/>
    <w:rsid w:val="67B457F0"/>
    <w:rsid w:val="67F97B02"/>
    <w:rsid w:val="68040309"/>
    <w:rsid w:val="6A0675FC"/>
    <w:rsid w:val="6A5B6767"/>
    <w:rsid w:val="6A905171"/>
    <w:rsid w:val="6C3D028D"/>
    <w:rsid w:val="6CBE13CE"/>
    <w:rsid w:val="6FE54EC4"/>
    <w:rsid w:val="6FE81534"/>
    <w:rsid w:val="6FF95CCA"/>
    <w:rsid w:val="71B82978"/>
    <w:rsid w:val="73593BFF"/>
    <w:rsid w:val="73E927EE"/>
    <w:rsid w:val="73ED1B12"/>
    <w:rsid w:val="747252C4"/>
    <w:rsid w:val="7483352F"/>
    <w:rsid w:val="74AC5E7A"/>
    <w:rsid w:val="74F8638E"/>
    <w:rsid w:val="756010C7"/>
    <w:rsid w:val="761E061B"/>
    <w:rsid w:val="77883F14"/>
    <w:rsid w:val="77BB2B47"/>
    <w:rsid w:val="78D76DD5"/>
    <w:rsid w:val="79E61F64"/>
    <w:rsid w:val="7CAE6CB7"/>
    <w:rsid w:val="7D622C5C"/>
    <w:rsid w:val="7E1A7890"/>
    <w:rsid w:val="7EF90D73"/>
    <w:rsid w:val="7F0F5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18"/>
    <w:unhideWhenUsed/>
    <w:qFormat/>
    <w:uiPriority w:val="99"/>
    <w:pPr>
      <w:ind w:left="100" w:leftChars="2500"/>
    </w:p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character" w:customStyle="1" w:styleId="13">
    <w:name w:val="页眉 字符"/>
    <w:basedOn w:val="10"/>
    <w:link w:val="7"/>
    <w:qFormat/>
    <w:uiPriority w:val="99"/>
    <w:rPr>
      <w:rFonts w:ascii="Calibri" w:hAnsi="Calibri" w:eastAsia="宋体" w:cs="Times New Roman"/>
      <w:kern w:val="2"/>
      <w:sz w:val="18"/>
      <w:szCs w:val="18"/>
    </w:rPr>
  </w:style>
  <w:style w:type="character" w:customStyle="1" w:styleId="14">
    <w:name w:val="页脚 字符"/>
    <w:basedOn w:val="10"/>
    <w:link w:val="6"/>
    <w:semiHidden/>
    <w:qFormat/>
    <w:uiPriority w:val="99"/>
    <w:rPr>
      <w:rFonts w:ascii="Calibri" w:hAnsi="Calibri" w:eastAsia="宋体" w:cs="Times New Roman"/>
      <w:kern w:val="2"/>
      <w:sz w:val="18"/>
      <w:szCs w:val="18"/>
    </w:rPr>
  </w:style>
  <w:style w:type="paragraph" w:customStyle="1" w:styleId="15">
    <w:name w:val="列表段落1"/>
    <w:basedOn w:val="1"/>
    <w:qFormat/>
    <w:uiPriority w:val="99"/>
    <w:pPr>
      <w:ind w:firstLine="420" w:firstLineChars="200"/>
    </w:pPr>
  </w:style>
  <w:style w:type="character" w:customStyle="1" w:styleId="16">
    <w:name w:val="批注框文本 字符"/>
    <w:basedOn w:val="10"/>
    <w:link w:val="5"/>
    <w:semiHidden/>
    <w:qFormat/>
    <w:uiPriority w:val="99"/>
    <w:rPr>
      <w:rFonts w:ascii="Calibri" w:hAnsi="Calibri"/>
      <w:kern w:val="2"/>
      <w:sz w:val="18"/>
      <w:szCs w:val="18"/>
    </w:rPr>
  </w:style>
  <w:style w:type="paragraph" w:customStyle="1" w:styleId="17">
    <w:name w:val="列表段落2"/>
    <w:basedOn w:val="1"/>
    <w:qFormat/>
    <w:uiPriority w:val="99"/>
    <w:pPr>
      <w:ind w:firstLine="420" w:firstLineChars="200"/>
    </w:pPr>
  </w:style>
  <w:style w:type="character" w:customStyle="1" w:styleId="18">
    <w:name w:val="日期 字符"/>
    <w:basedOn w:val="10"/>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1069</Words>
  <Characters>1218</Characters>
  <Lines>12</Lines>
  <Paragraphs>3</Paragraphs>
  <TotalTime>0</TotalTime>
  <ScaleCrop>false</ScaleCrop>
  <LinksUpToDate>false</LinksUpToDate>
  <CharactersWithSpaces>1248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2022-04-11T08:23:00Z</cp:lastPrinted>
  <dcterms:modified xsi:type="dcterms:W3CDTF">2022-04-22T08:16:31Z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A1721B3ADD3B4512AB57E8D2B284EEE9</vt:lpwstr>
  </property>
</Properties>
</file>