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lang w:eastAsia="zh-CN"/>
        </w:rPr>
        <w:t>2020</w:t>
      </w:r>
      <w:r>
        <w:rPr>
          <w:rFonts w:hint="eastAsia" w:ascii="黑体" w:hAnsi="黑体" w:eastAsia="黑体" w:cs="黑体"/>
          <w:sz w:val="52"/>
          <w:szCs w:val="52"/>
        </w:rPr>
        <w:t>年度</w:t>
      </w:r>
    </w:p>
    <w:p>
      <w:pPr>
        <w:jc w:val="center"/>
        <w:rPr>
          <w:rFonts w:ascii="黑体" w:hAnsi="黑体" w:eastAsia="黑体" w:cs="黑体"/>
          <w:sz w:val="52"/>
          <w:szCs w:val="52"/>
        </w:rPr>
      </w:pPr>
      <w:r>
        <w:rPr>
          <w:rFonts w:hint="eastAsia" w:ascii="黑体" w:hAnsi="黑体" w:eastAsia="黑体" w:cs="黑体"/>
          <w:sz w:val="52"/>
          <w:szCs w:val="52"/>
        </w:rPr>
        <w:t>伊川县人力资源和社会保障局</w:t>
      </w:r>
    </w:p>
    <w:p>
      <w:pPr>
        <w:jc w:val="center"/>
        <w:rPr>
          <w:rFonts w:ascii="黑体" w:hAnsi="黑体" w:eastAsia="黑体" w:cs="黑体"/>
          <w:sz w:val="52"/>
          <w:szCs w:val="52"/>
        </w:rPr>
      </w:pP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sectPr>
          <w:pgSz w:w="11906" w:h="16838"/>
          <w:pgMar w:top="1440" w:right="1531" w:bottom="1440" w:left="1587" w:header="850" w:footer="992" w:gutter="0"/>
          <w:pgNumType w:fmt="numberInDash"/>
          <w:cols w:space="720" w:num="1"/>
          <w:docGrid w:type="lines" w:linePitch="317"/>
        </w:sectPr>
      </w:pPr>
      <w:r>
        <w:rPr>
          <w:rFonts w:hint="eastAsia" w:ascii="黑体" w:hAnsi="黑体" w:eastAsia="黑体" w:cs="黑体"/>
          <w:sz w:val="32"/>
          <w:szCs w:val="32"/>
        </w:rPr>
        <w:t>二〇二</w:t>
      </w:r>
      <w:r>
        <w:rPr>
          <w:rFonts w:hint="eastAsia" w:ascii="黑体" w:hAnsi="黑体" w:eastAsia="黑体" w:cs="黑体"/>
          <w:sz w:val="32"/>
          <w:szCs w:val="32"/>
          <w:lang w:eastAsia="zh-CN"/>
        </w:rPr>
        <w:t>一</w:t>
      </w:r>
      <w:r>
        <w:rPr>
          <w:rFonts w:hint="eastAsia" w:ascii="黑体" w:hAnsi="黑体" w:eastAsia="黑体" w:cs="黑体"/>
          <w:sz w:val="32"/>
          <w:szCs w:val="32"/>
        </w:rPr>
        <w:t>年</w:t>
      </w:r>
      <w:r>
        <w:rPr>
          <w:rFonts w:hint="eastAsia" w:ascii="黑体" w:hAnsi="黑体" w:eastAsia="黑体" w:cs="黑体"/>
          <w:sz w:val="32"/>
          <w:szCs w:val="32"/>
          <w:lang w:val="en-US" w:eastAsia="zh-CN"/>
        </w:rPr>
        <w:t>十二</w:t>
      </w:r>
      <w:r>
        <w:rPr>
          <w:rFonts w:hint="eastAsia" w:ascii="黑体" w:hAnsi="黑体" w:eastAsia="黑体" w:cs="黑体"/>
          <w:sz w:val="32"/>
          <w:szCs w:val="32"/>
        </w:rPr>
        <w:t>月</w:t>
      </w:r>
    </w:p>
    <w:p>
      <w:pPr>
        <w:jc w:val="center"/>
        <w:rPr>
          <w:rFonts w:ascii="黑体" w:hAnsi="黑体" w:eastAsia="黑体" w:cs="黑体"/>
          <w:sz w:val="36"/>
          <w:szCs w:val="36"/>
        </w:rPr>
      </w:pPr>
      <w:bookmarkStart w:id="0" w:name="_GoBack"/>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伊川县人力资源和社会保障局概况</w:t>
      </w:r>
    </w:p>
    <w:p>
      <w:pPr>
        <w:numPr>
          <w:ilvl w:val="0"/>
          <w:numId w:val="1"/>
        </w:numPr>
        <w:ind w:firstLine="640" w:firstLineChars="200"/>
        <w:jc w:val="left"/>
        <w:rPr>
          <w:rFonts w:ascii="宋体" w:hAnsi="宋体" w:eastAsia="宋体" w:cs="宋体"/>
          <w:sz w:val="32"/>
          <w:szCs w:val="32"/>
        </w:rPr>
      </w:pPr>
      <w:r>
        <w:rPr>
          <w:rFonts w:hint="eastAsia" w:ascii="宋体" w:hAnsi="宋体" w:eastAsia="宋体" w:cs="宋体"/>
          <w:sz w:val="32"/>
          <w:szCs w:val="32"/>
        </w:rPr>
        <w:t>部门职责</w:t>
      </w:r>
    </w:p>
    <w:p>
      <w:pPr>
        <w:numPr>
          <w:ilvl w:val="0"/>
          <w:numId w:val="1"/>
        </w:numPr>
        <w:ind w:firstLine="640" w:firstLineChars="200"/>
        <w:jc w:val="left"/>
        <w:rPr>
          <w:rFonts w:ascii="宋体" w:hAnsi="宋体" w:eastAsia="宋体" w:cs="宋体"/>
          <w:sz w:val="32"/>
          <w:szCs w:val="32"/>
        </w:rPr>
      </w:pPr>
      <w:r>
        <w:rPr>
          <w:rFonts w:hint="eastAsia" w:ascii="宋体" w:hAnsi="宋体" w:eastAsia="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伊川县人力资源和社会保障局</w:t>
      </w:r>
      <w:r>
        <w:rPr>
          <w:rFonts w:hint="eastAsia" w:ascii="黑体" w:hAnsi="黑体" w:eastAsia="黑体" w:cs="黑体"/>
          <w:sz w:val="32"/>
          <w:szCs w:val="32"/>
          <w:lang w:eastAsia="zh-CN"/>
        </w:rPr>
        <w:t>2020</w:t>
      </w:r>
      <w:r>
        <w:rPr>
          <w:rFonts w:hint="eastAsia" w:ascii="黑体" w:hAnsi="黑体" w:eastAsia="黑体" w:cs="黑体"/>
          <w:sz w:val="32"/>
          <w:szCs w:val="32"/>
        </w:rPr>
        <w:t>年度部门决算表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一、收入支出决算总表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二、收入决算表</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三、支出决算表</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四、财政拨款收入支出决算总表</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五、一般公共预算财政拨款支出决算表</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六、一般公共预算财政拨款基本支出决算表</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七、一般公共预算财政拨款“三公”经费支出决算表</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八、政府性基金预算财政拨</w:t>
      </w:r>
      <w:bookmarkEnd w:id="0"/>
      <w:r>
        <w:rPr>
          <w:rFonts w:hint="eastAsia" w:ascii="宋体" w:hAnsi="宋体" w:eastAsia="宋体" w:cs="宋体"/>
          <w:sz w:val="32"/>
          <w:szCs w:val="32"/>
        </w:rPr>
        <w:t>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2020</w:t>
      </w:r>
      <w:r>
        <w:rPr>
          <w:rFonts w:hint="eastAsia" w:ascii="黑体" w:hAnsi="黑体" w:eastAsia="黑体" w:cs="黑体"/>
          <w:sz w:val="32"/>
          <w:szCs w:val="32"/>
        </w:rPr>
        <w:t>年度部门决算情况说明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一、收入支出决算总体情况说明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二、收入决算情况说明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三、支出决算情况说明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四、财政拨款收入支出决算总体情况说明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五、一般公共预算财政拨款支出决算情况说明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六、一般公共预算财政拨款基本支出决算情况说明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七、一般公共预算财政拨款“三公”经费支出决算情况说明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八、预算绩效情况说明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九、政府性基金预算财政拨款支出决算情况说明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十、机关运行经费支出情况说明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十一、政府采购支出情况说明</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eastAsia="宋体" w:cs="宋体"/>
          <w:sz w:val="32"/>
          <w:szCs w:val="32"/>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hint="eastAsia" w:ascii="黑体" w:hAnsi="黑体" w:eastAsia="黑体" w:cs="黑体"/>
          <w:sz w:val="36"/>
          <w:szCs w:val="36"/>
        </w:rPr>
      </w:pPr>
    </w:p>
    <w:p>
      <w:pPr>
        <w:jc w:val="center"/>
        <w:rPr>
          <w:rFonts w:ascii="黑体" w:hAnsi="黑体" w:eastAsia="黑体" w:cs="黑体"/>
          <w:sz w:val="32"/>
          <w:szCs w:val="32"/>
        </w:rPr>
      </w:pPr>
      <w:r>
        <w:rPr>
          <w:rFonts w:hint="eastAsia" w:ascii="黑体" w:hAnsi="黑体" w:eastAsia="黑体" w:cs="黑体"/>
          <w:sz w:val="32"/>
          <w:szCs w:val="32"/>
        </w:rPr>
        <w:t>第一部分　　</w:t>
      </w:r>
    </w:p>
    <w:p>
      <w:pPr>
        <w:jc w:val="center"/>
        <w:rPr>
          <w:rFonts w:ascii="黑体" w:hAnsi="黑体" w:eastAsia="黑体" w:cs="黑体"/>
          <w:sz w:val="32"/>
          <w:szCs w:val="32"/>
        </w:rPr>
      </w:pPr>
      <w:r>
        <w:rPr>
          <w:rFonts w:hint="eastAsia" w:ascii="黑体" w:hAnsi="黑体" w:eastAsia="黑体" w:cs="黑体"/>
          <w:sz w:val="32"/>
          <w:szCs w:val="32"/>
        </w:rPr>
        <w:t>伊川县人力资源和社会保障局概况</w:t>
      </w:r>
    </w:p>
    <w:p>
      <w:pPr>
        <w:jc w:val="center"/>
        <w:rPr>
          <w:rFonts w:ascii="黑体" w:hAnsi="黑体" w:eastAsia="黑体" w:cs="黑体"/>
          <w:sz w:val="32"/>
          <w:szCs w:val="32"/>
        </w:rPr>
      </w:pPr>
    </w:p>
    <w:p>
      <w:pPr>
        <w:jc w:val="center"/>
        <w:rPr>
          <w:rFonts w:hint="eastAsia" w:ascii="黑体" w:hAnsi="黑体" w:eastAsia="黑体" w:cs="黑体"/>
          <w:sz w:val="32"/>
          <w:szCs w:val="32"/>
        </w:rPr>
      </w:pPr>
    </w:p>
    <w:p>
      <w:pPr>
        <w:jc w:val="left"/>
        <w:rPr>
          <w:rFonts w:ascii="宋体" w:hAnsi="宋体" w:cs="宋体"/>
          <w:b/>
          <w:sz w:val="32"/>
          <w:szCs w:val="32"/>
        </w:rPr>
      </w:pPr>
      <w:r>
        <w:rPr>
          <w:rFonts w:hint="eastAsia" w:ascii="宋体" w:hAnsi="宋体" w:cs="宋体"/>
          <w:b/>
          <w:sz w:val="32"/>
          <w:szCs w:val="32"/>
        </w:rPr>
        <w:t>一、部门职责</w:t>
      </w:r>
    </w:p>
    <w:p>
      <w:pPr>
        <w:jc w:val="left"/>
        <w:rPr>
          <w:rFonts w:ascii="宋体" w:hAnsi="宋体" w:cs="宋体"/>
          <w:sz w:val="32"/>
          <w:szCs w:val="32"/>
        </w:rPr>
      </w:pPr>
      <w:r>
        <w:rPr>
          <w:rFonts w:hint="eastAsia" w:ascii="宋体" w:hAnsi="宋体" w:cs="宋体"/>
          <w:sz w:val="32"/>
          <w:szCs w:val="32"/>
        </w:rPr>
        <w:t>　　</w:t>
      </w:r>
      <w:r>
        <w:rPr>
          <w:rFonts w:hint="eastAsia" w:ascii="宋体" w:hAnsi="宋体"/>
          <w:sz w:val="32"/>
          <w:szCs w:val="32"/>
        </w:rPr>
        <w:t>伊川县人力资源和社会保障局属于行政机关，下设二级机构有：伊川县劳动就业服务中心、伊川县技工学校、伊川县小额贷款中心；主要负责全县行政机关事业单位人事招聘、调动、工资审核、工伤认定、退休办理、劳动力培训、就业再就业、劳务输出、人事档案代理、小额贷款等工作管理和服务。</w:t>
      </w:r>
    </w:p>
    <w:p>
      <w:pPr>
        <w:jc w:val="left"/>
        <w:rPr>
          <w:rFonts w:ascii="宋体" w:hAnsi="宋体" w:cs="宋体"/>
          <w:b/>
          <w:sz w:val="32"/>
          <w:szCs w:val="32"/>
        </w:rPr>
      </w:pPr>
      <w:r>
        <w:rPr>
          <w:rFonts w:hint="eastAsia" w:ascii="宋体" w:hAnsi="宋体" w:cs="宋体"/>
          <w:b/>
          <w:sz w:val="32"/>
          <w:szCs w:val="32"/>
        </w:rPr>
        <w:t>二、机构设置</w:t>
      </w:r>
    </w:p>
    <w:p>
      <w:pPr>
        <w:jc w:val="left"/>
        <w:rPr>
          <w:rFonts w:ascii="宋体" w:hAnsi="宋体" w:cs="宋体"/>
          <w:b/>
          <w:sz w:val="32"/>
          <w:szCs w:val="32"/>
        </w:rPr>
      </w:pPr>
      <w:r>
        <w:rPr>
          <w:rFonts w:hint="eastAsia" w:ascii="宋体" w:hAnsi="宋体" w:cs="宋体"/>
          <w:b/>
          <w:sz w:val="32"/>
          <w:szCs w:val="32"/>
        </w:rPr>
        <w:t>　　</w:t>
      </w:r>
      <w:r>
        <w:rPr>
          <w:rFonts w:hint="eastAsia" w:ascii="宋体" w:hAnsi="宋体"/>
          <w:sz w:val="32"/>
          <w:szCs w:val="32"/>
        </w:rPr>
        <w:t>内设行政科室12个：办公室、信访仲裁股、政策法规股、就业促进股、人力资源流动管理股、专业技术人员管理股、事业单位人事管理股、农民工工作股、工资福利股、社会保险管理股、劳动保障监察股、人事财务股12个职能科室；事业单位二级机构8个：技工学校、小额创业担保贷款中心、就业服务管理中心、培训考试中心、劳动保障监察大队、职业技能鉴定站、人才交流中心、退休管理中心8个局属事业单位。股级干部20人。</w:t>
      </w:r>
    </w:p>
    <w:p>
      <w:pPr>
        <w:ind w:left="640"/>
        <w:jc w:val="left"/>
        <w:rPr>
          <w:rFonts w:ascii="宋体" w:hAnsi="宋体" w:cs="宋体"/>
          <w:sz w:val="32"/>
          <w:szCs w:val="32"/>
        </w:rPr>
      </w:pPr>
    </w:p>
    <w:p>
      <w:pPr>
        <w:widowControl/>
        <w:jc w:val="left"/>
        <w:rPr>
          <w:rFonts w:ascii="黑体" w:hAnsi="黑体" w:eastAsia="黑体" w:cs="黑体"/>
          <w:sz w:val="32"/>
          <w:szCs w:val="32"/>
        </w:rPr>
      </w:pPr>
      <w:r>
        <w:rPr>
          <w:rFonts w:ascii="黑体" w:hAnsi="黑体" w:eastAsia="黑体" w:cs="黑体"/>
          <w:sz w:val="32"/>
          <w:szCs w:val="32"/>
        </w:rPr>
        <w:br w:type="page"/>
      </w:r>
    </w:p>
    <w:p>
      <w:pPr>
        <w:spacing w:line="540" w:lineRule="exact"/>
        <w:ind w:firstLine="704" w:firstLineChars="200"/>
        <w:rPr>
          <w:rFonts w:hint="eastAsia" w:ascii="仿宋_GB2312" w:hAnsi="仿宋" w:eastAsia="仿宋_GB2312"/>
          <w:spacing w:val="16"/>
          <w:sz w:val="32"/>
          <w:szCs w:val="32"/>
        </w:rPr>
      </w:pPr>
    </w:p>
    <w:p>
      <w:pPr>
        <w:spacing w:line="540" w:lineRule="exact"/>
        <w:ind w:firstLine="704" w:firstLineChars="200"/>
        <w:rPr>
          <w:rFonts w:ascii="仿宋_GB2312" w:hAnsi="仿宋" w:eastAsia="仿宋_GB2312"/>
          <w:spacing w:val="16"/>
          <w:sz w:val="32"/>
          <w:szCs w:val="32"/>
        </w:rPr>
      </w:pPr>
    </w:p>
    <w:p>
      <w:pPr>
        <w:spacing w:line="540" w:lineRule="exact"/>
        <w:ind w:firstLine="704" w:firstLineChars="200"/>
        <w:rPr>
          <w:rFonts w:ascii="仿宋_GB2312" w:hAnsi="仿宋" w:eastAsia="仿宋_GB2312"/>
          <w:spacing w:val="16"/>
          <w:sz w:val="32"/>
          <w:szCs w:val="32"/>
        </w:rPr>
      </w:pPr>
    </w:p>
    <w:p>
      <w:pPr>
        <w:spacing w:line="540" w:lineRule="exact"/>
        <w:ind w:firstLine="704" w:firstLineChars="200"/>
        <w:rPr>
          <w:rFonts w:ascii="仿宋_GB2312" w:hAnsi="仿宋" w:eastAsia="仿宋_GB2312"/>
          <w:spacing w:val="16"/>
          <w:sz w:val="32"/>
          <w:szCs w:val="32"/>
        </w:rPr>
      </w:pPr>
    </w:p>
    <w:p>
      <w:pPr>
        <w:spacing w:line="540" w:lineRule="exact"/>
        <w:ind w:firstLine="704" w:firstLineChars="200"/>
        <w:rPr>
          <w:rFonts w:ascii="仿宋_GB2312" w:hAnsi="仿宋" w:eastAsia="仿宋_GB2312"/>
          <w:spacing w:val="16"/>
          <w:sz w:val="32"/>
          <w:szCs w:val="32"/>
        </w:rPr>
      </w:pPr>
    </w:p>
    <w:p>
      <w:pPr>
        <w:spacing w:line="540" w:lineRule="exact"/>
        <w:ind w:firstLine="704" w:firstLineChars="200"/>
        <w:rPr>
          <w:rFonts w:ascii="仿宋_GB2312" w:hAnsi="仿宋" w:eastAsia="仿宋_GB2312"/>
          <w:spacing w:val="16"/>
          <w:sz w:val="32"/>
          <w:szCs w:val="32"/>
        </w:rPr>
      </w:pPr>
    </w:p>
    <w:p>
      <w:pPr>
        <w:spacing w:line="540" w:lineRule="exact"/>
        <w:ind w:firstLine="704" w:firstLineChars="200"/>
        <w:rPr>
          <w:rFonts w:ascii="仿宋_GB2312" w:hAnsi="仿宋" w:eastAsia="仿宋_GB2312"/>
          <w:spacing w:val="16"/>
          <w:sz w:val="32"/>
          <w:szCs w:val="32"/>
        </w:rPr>
      </w:pPr>
    </w:p>
    <w:p>
      <w:pPr>
        <w:spacing w:line="540" w:lineRule="exact"/>
        <w:ind w:firstLine="704" w:firstLineChars="200"/>
        <w:rPr>
          <w:rFonts w:ascii="仿宋_GB2312" w:hAnsi="仿宋" w:eastAsia="仿宋_GB2312"/>
          <w:spacing w:val="16"/>
          <w:sz w:val="32"/>
          <w:szCs w:val="32"/>
        </w:rPr>
      </w:pPr>
    </w:p>
    <w:p>
      <w:pPr>
        <w:spacing w:line="540" w:lineRule="exact"/>
        <w:ind w:firstLine="704" w:firstLineChars="200"/>
        <w:rPr>
          <w:rFonts w:hint="eastAsia" w:ascii="仿宋_GB2312" w:hAnsi="仿宋" w:eastAsia="仿宋_GB2312"/>
          <w:spacing w:val="16"/>
          <w:sz w:val="32"/>
          <w:szCs w:val="32"/>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第二部分  </w:t>
      </w:r>
      <w:r>
        <w:rPr>
          <w:rFonts w:hint="eastAsia" w:ascii="黑体" w:hAnsi="黑体" w:eastAsia="黑体" w:cs="黑体"/>
          <w:sz w:val="48"/>
          <w:szCs w:val="48"/>
          <w:lang w:eastAsia="zh-CN"/>
        </w:rPr>
        <w:t>2020</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ind w:firstLine="640" w:firstLineChars="200"/>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hint="eastAsia" w:ascii="宋体" w:hAnsi="宋体" w:cs="宋体"/>
          <w:sz w:val="32"/>
          <w:szCs w:val="32"/>
        </w:rPr>
      </w:pPr>
    </w:p>
    <w:p>
      <w:pPr>
        <w:widowControl/>
        <w:jc w:val="left"/>
        <w:rPr>
          <w:rFonts w:ascii="宋体" w:hAnsi="宋体" w:cs="宋体"/>
          <w:sz w:val="32"/>
          <w:szCs w:val="32"/>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第三部分  </w:t>
      </w:r>
      <w:r>
        <w:rPr>
          <w:rFonts w:hint="eastAsia" w:ascii="黑体" w:hAnsi="黑体" w:eastAsia="黑体" w:cs="黑体"/>
          <w:sz w:val="48"/>
          <w:szCs w:val="48"/>
          <w:lang w:eastAsia="zh-CN"/>
        </w:rPr>
        <w:t>2020</w:t>
      </w:r>
      <w:r>
        <w:rPr>
          <w:rFonts w:hint="eastAsia" w:ascii="黑体" w:hAnsi="黑体" w:eastAsia="黑体" w:cs="黑体"/>
          <w:sz w:val="48"/>
          <w:szCs w:val="48"/>
        </w:rPr>
        <w:t>年度部门决算情况说明</w:t>
      </w: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ascii="宋体" w:hAnsi="宋体" w:cs="宋体"/>
          <w:sz w:val="32"/>
          <w:szCs w:val="32"/>
        </w:rPr>
      </w:pPr>
    </w:p>
    <w:p>
      <w:pPr>
        <w:widowControl/>
        <w:jc w:val="left"/>
        <w:rPr>
          <w:rFonts w:hint="eastAsia" w:ascii="宋体" w:hAnsi="宋体" w:cs="宋体"/>
          <w:sz w:val="32"/>
          <w:szCs w:val="32"/>
        </w:rPr>
      </w:pPr>
    </w:p>
    <w:p>
      <w:pPr>
        <w:widowControl/>
        <w:jc w:val="left"/>
        <w:rPr>
          <w:rFonts w:ascii="宋体" w:hAnsi="宋体" w:cs="宋体"/>
          <w:sz w:val="32"/>
          <w:szCs w:val="32"/>
        </w:rPr>
      </w:pPr>
    </w:p>
    <w:p>
      <w:pPr>
        <w:jc w:val="center"/>
        <w:rPr>
          <w:rFonts w:ascii="黑体" w:hAnsi="黑体" w:eastAsia="黑体" w:cs="黑体"/>
          <w:sz w:val="32"/>
          <w:szCs w:val="32"/>
        </w:r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adjustRightInd w:val="0"/>
        <w:snapToGrid w:val="0"/>
        <w:spacing w:line="360" w:lineRule="auto"/>
        <w:ind w:firstLine="636" w:firstLineChars="199"/>
        <w:rPr>
          <w:rFonts w:hint="eastAsia" w:ascii="宋体" w:hAnsi="宋体"/>
          <w:sz w:val="32"/>
          <w:szCs w:val="32"/>
          <w:lang w:eastAsia="zh-CN"/>
        </w:rPr>
      </w:pPr>
      <w:r>
        <w:rPr>
          <w:rFonts w:hint="eastAsia" w:ascii="宋体" w:hAnsi="宋体"/>
          <w:sz w:val="32"/>
          <w:szCs w:val="32"/>
          <w:lang w:eastAsia="zh-CN"/>
        </w:rPr>
        <w:t>2020</w:t>
      </w:r>
      <w:r>
        <w:rPr>
          <w:rFonts w:hint="eastAsia" w:ascii="宋体" w:hAnsi="宋体"/>
          <w:sz w:val="32"/>
          <w:szCs w:val="32"/>
        </w:rPr>
        <w:t>年度收入总计</w:t>
      </w:r>
      <w:r>
        <w:rPr>
          <w:rFonts w:hint="eastAsia" w:ascii="宋体" w:hAnsi="宋体"/>
          <w:sz w:val="32"/>
          <w:szCs w:val="32"/>
          <w:lang w:val="en-US" w:eastAsia="zh-CN"/>
        </w:rPr>
        <w:t>4135.03</w:t>
      </w:r>
      <w:r>
        <w:rPr>
          <w:rFonts w:hint="eastAsia" w:ascii="宋体" w:hAnsi="宋体"/>
          <w:sz w:val="32"/>
          <w:szCs w:val="32"/>
        </w:rPr>
        <w:t>万元，</w:t>
      </w:r>
      <w:r>
        <w:rPr>
          <w:rFonts w:hint="eastAsia" w:ascii="宋体" w:hAnsi="宋体"/>
          <w:sz w:val="32"/>
          <w:szCs w:val="32"/>
          <w:lang w:eastAsia="zh-CN"/>
        </w:rPr>
        <w:t>比上年同期增加</w:t>
      </w:r>
      <w:r>
        <w:rPr>
          <w:rFonts w:hint="eastAsia" w:ascii="宋体" w:hAnsi="宋体"/>
          <w:sz w:val="32"/>
          <w:szCs w:val="32"/>
          <w:lang w:val="en-US" w:eastAsia="zh-CN"/>
        </w:rPr>
        <w:t>477.08万元，增长13%，</w:t>
      </w:r>
      <w:r>
        <w:rPr>
          <w:rFonts w:hint="eastAsia" w:ascii="宋体" w:hAnsi="宋体"/>
          <w:sz w:val="32"/>
          <w:szCs w:val="32"/>
        </w:rPr>
        <w:t>其中：一般财政拨款收入</w:t>
      </w:r>
      <w:r>
        <w:rPr>
          <w:rFonts w:hint="eastAsia" w:ascii="宋体" w:hAnsi="宋体"/>
          <w:sz w:val="32"/>
          <w:szCs w:val="32"/>
          <w:lang w:val="en-US" w:eastAsia="zh-CN"/>
        </w:rPr>
        <w:t>4129.44</w:t>
      </w:r>
      <w:r>
        <w:rPr>
          <w:rFonts w:hint="eastAsia" w:ascii="宋体" w:hAnsi="宋体"/>
          <w:sz w:val="32"/>
          <w:szCs w:val="32"/>
        </w:rPr>
        <w:t>万元，政府基金拨款收入</w:t>
      </w:r>
      <w:r>
        <w:rPr>
          <w:rFonts w:hint="eastAsia" w:ascii="宋体" w:hAnsi="宋体"/>
          <w:sz w:val="32"/>
          <w:szCs w:val="32"/>
          <w:lang w:val="en-US" w:eastAsia="zh-CN"/>
        </w:rPr>
        <w:t>0</w:t>
      </w:r>
      <w:r>
        <w:rPr>
          <w:rFonts w:hint="eastAsia" w:ascii="宋体" w:hAnsi="宋体"/>
          <w:sz w:val="32"/>
          <w:szCs w:val="32"/>
        </w:rPr>
        <w:t>万元，</w:t>
      </w:r>
      <w:r>
        <w:rPr>
          <w:rFonts w:hint="eastAsia" w:ascii="宋体" w:hAnsi="宋体"/>
          <w:sz w:val="32"/>
          <w:szCs w:val="32"/>
          <w:lang w:eastAsia="zh-CN"/>
        </w:rPr>
        <w:t>2020</w:t>
      </w:r>
      <w:r>
        <w:rPr>
          <w:rFonts w:hint="eastAsia" w:ascii="宋体" w:hAnsi="宋体"/>
          <w:sz w:val="32"/>
          <w:szCs w:val="32"/>
        </w:rPr>
        <w:t>年初结转和结余</w:t>
      </w:r>
      <w:r>
        <w:rPr>
          <w:rFonts w:hint="eastAsia" w:ascii="宋体" w:hAnsi="宋体"/>
          <w:sz w:val="32"/>
          <w:szCs w:val="32"/>
          <w:lang w:val="en-US" w:eastAsia="zh-CN"/>
        </w:rPr>
        <w:t>5.59</w:t>
      </w:r>
      <w:r>
        <w:rPr>
          <w:rFonts w:hint="eastAsia" w:ascii="宋体" w:hAnsi="宋体"/>
          <w:sz w:val="32"/>
          <w:szCs w:val="32"/>
        </w:rPr>
        <w:t>万元。</w:t>
      </w:r>
      <w:r>
        <w:rPr>
          <w:rFonts w:hint="eastAsia" w:ascii="宋体" w:hAnsi="宋体"/>
          <w:sz w:val="32"/>
          <w:szCs w:val="32"/>
          <w:lang w:eastAsia="zh-CN"/>
        </w:rPr>
        <w:t>2020</w:t>
      </w:r>
      <w:r>
        <w:rPr>
          <w:rFonts w:hint="eastAsia" w:ascii="宋体" w:hAnsi="宋体"/>
          <w:sz w:val="32"/>
          <w:szCs w:val="32"/>
        </w:rPr>
        <w:t>年度支出总计</w:t>
      </w:r>
      <w:r>
        <w:rPr>
          <w:rFonts w:hint="eastAsia" w:ascii="宋体" w:hAnsi="宋体"/>
          <w:sz w:val="32"/>
          <w:szCs w:val="32"/>
          <w:lang w:val="en-US" w:eastAsia="zh-CN"/>
        </w:rPr>
        <w:t>4135.03</w:t>
      </w:r>
      <w:r>
        <w:rPr>
          <w:rFonts w:hint="eastAsia" w:ascii="宋体" w:hAnsi="宋体"/>
          <w:sz w:val="32"/>
          <w:szCs w:val="32"/>
        </w:rPr>
        <w:t>万元，</w:t>
      </w:r>
      <w:r>
        <w:rPr>
          <w:rFonts w:hint="eastAsia" w:ascii="宋体" w:hAnsi="宋体"/>
          <w:sz w:val="32"/>
          <w:szCs w:val="32"/>
          <w:lang w:eastAsia="zh-CN"/>
        </w:rPr>
        <w:t>比上年同期增加</w:t>
      </w:r>
      <w:r>
        <w:rPr>
          <w:rFonts w:hint="eastAsia" w:ascii="宋体" w:hAnsi="宋体"/>
          <w:sz w:val="32"/>
          <w:szCs w:val="32"/>
          <w:lang w:val="en-US" w:eastAsia="zh-CN"/>
        </w:rPr>
        <w:t>477.08万元，增长13%，</w:t>
      </w:r>
      <w:r>
        <w:rPr>
          <w:rFonts w:hint="eastAsia" w:ascii="宋体" w:hAnsi="宋体"/>
          <w:sz w:val="32"/>
          <w:szCs w:val="32"/>
        </w:rPr>
        <w:t>其中：一般公共服务支出</w:t>
      </w:r>
      <w:r>
        <w:rPr>
          <w:rFonts w:hint="eastAsia" w:ascii="宋体" w:hAnsi="宋体"/>
          <w:sz w:val="32"/>
          <w:szCs w:val="32"/>
          <w:lang w:val="en-US" w:eastAsia="zh-CN"/>
        </w:rPr>
        <w:t>429.1</w:t>
      </w:r>
      <w:r>
        <w:rPr>
          <w:rFonts w:hint="eastAsia" w:ascii="宋体" w:hAnsi="宋体"/>
          <w:sz w:val="32"/>
          <w:szCs w:val="32"/>
        </w:rPr>
        <w:t>万元，</w:t>
      </w:r>
      <w:r>
        <w:rPr>
          <w:rFonts w:hint="eastAsia" w:ascii="宋体" w:hAnsi="宋体"/>
          <w:sz w:val="32"/>
          <w:szCs w:val="32"/>
          <w:lang w:eastAsia="zh-CN"/>
        </w:rPr>
        <w:t>教育支出124.89万元，社会保障和就业支出2194.12万元，卫生健康支出</w:t>
      </w:r>
      <w:r>
        <w:rPr>
          <w:rFonts w:hint="eastAsia" w:ascii="宋体" w:hAnsi="宋体"/>
          <w:sz w:val="32"/>
          <w:szCs w:val="32"/>
          <w:lang w:val="en-US" w:eastAsia="zh-CN"/>
        </w:rPr>
        <w:t>55.04万元，</w:t>
      </w:r>
      <w:r>
        <w:rPr>
          <w:rFonts w:hint="eastAsia" w:ascii="宋体" w:hAnsi="宋体"/>
          <w:sz w:val="32"/>
          <w:szCs w:val="32"/>
          <w:lang w:eastAsia="zh-CN"/>
        </w:rPr>
        <w:t>农林水支出1331.88万元。</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年度收入合计</w:t>
      </w:r>
      <w:r>
        <w:rPr>
          <w:rFonts w:hint="eastAsia" w:ascii="宋体" w:hAnsi="宋体" w:eastAsia="仿宋_GB2312"/>
          <w:sz w:val="32"/>
          <w:szCs w:val="32"/>
          <w:lang w:val="en-US" w:eastAsia="zh-CN"/>
        </w:rPr>
        <w:t>4129.44</w:t>
      </w:r>
      <w:r>
        <w:rPr>
          <w:rFonts w:hint="eastAsia" w:ascii="仿宋_GB2312" w:hAnsi="仿宋_GB2312" w:eastAsia="仿宋_GB2312" w:cs="仿宋_GB2312"/>
          <w:sz w:val="32"/>
          <w:szCs w:val="32"/>
        </w:rPr>
        <w:t>万元，</w:t>
      </w:r>
      <w:r>
        <w:rPr>
          <w:rFonts w:hint="eastAsia" w:ascii="宋体" w:hAnsi="宋体"/>
          <w:sz w:val="32"/>
          <w:szCs w:val="32"/>
          <w:lang w:eastAsia="zh-CN"/>
        </w:rPr>
        <w:t>比上年同期增加</w:t>
      </w:r>
      <w:r>
        <w:rPr>
          <w:rFonts w:hint="eastAsia" w:ascii="宋体" w:hAnsi="宋体"/>
          <w:sz w:val="32"/>
          <w:szCs w:val="32"/>
          <w:lang w:val="en-US" w:eastAsia="zh-CN"/>
        </w:rPr>
        <w:t>471.49万元，增长12.9%，</w:t>
      </w:r>
      <w:r>
        <w:rPr>
          <w:rFonts w:hint="eastAsia" w:ascii="仿宋_GB2312" w:hAnsi="仿宋_GB2312" w:eastAsia="仿宋_GB2312" w:cs="仿宋_GB2312"/>
          <w:sz w:val="32"/>
          <w:szCs w:val="32"/>
        </w:rPr>
        <w:t>其中：财政拨款收入</w:t>
      </w:r>
      <w:r>
        <w:rPr>
          <w:rFonts w:hint="eastAsia" w:ascii="宋体" w:hAnsi="宋体" w:eastAsia="仿宋_GB2312"/>
          <w:sz w:val="32"/>
          <w:szCs w:val="32"/>
          <w:lang w:val="en-US" w:eastAsia="zh-CN"/>
        </w:rPr>
        <w:t>4129.44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%；上级补助收入0万元，占0%；事业收入0万元，占0%；经营收入0万元，占0%；附属单位上缴收入0万元，占0%；其他收入</w:t>
      </w:r>
      <w:r>
        <w:rPr>
          <w:rFonts w:hint="eastAsia" w:ascii="宋体" w:hAnsi="宋体" w:eastAsia="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年度支出合计</w:t>
      </w:r>
      <w:r>
        <w:rPr>
          <w:rFonts w:hint="eastAsia" w:ascii="宋体" w:hAnsi="宋体" w:eastAsia="仿宋_GB2312"/>
          <w:sz w:val="32"/>
          <w:szCs w:val="32"/>
          <w:lang w:val="en-US" w:eastAsia="zh-CN"/>
        </w:rPr>
        <w:t>4135.03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宋体" w:hAnsi="宋体"/>
          <w:sz w:val="32"/>
          <w:szCs w:val="32"/>
          <w:lang w:eastAsia="zh-CN"/>
        </w:rPr>
        <w:t>比上年同期减少</w:t>
      </w:r>
      <w:r>
        <w:rPr>
          <w:rFonts w:hint="eastAsia" w:ascii="宋体" w:hAnsi="宋体"/>
          <w:sz w:val="32"/>
          <w:szCs w:val="32"/>
          <w:lang w:val="en-US" w:eastAsia="zh-CN"/>
        </w:rPr>
        <w:t>159.5万元，下降3.7%，</w:t>
      </w:r>
      <w:r>
        <w:rPr>
          <w:rFonts w:hint="eastAsia" w:ascii="仿宋_GB2312" w:hAnsi="仿宋_GB2312" w:eastAsia="仿宋_GB2312" w:cs="仿宋_GB2312"/>
          <w:sz w:val="32"/>
          <w:szCs w:val="32"/>
        </w:rPr>
        <w:t>，其中：基本支出</w:t>
      </w:r>
      <w:r>
        <w:rPr>
          <w:rFonts w:hint="eastAsia" w:ascii="宋体" w:hAnsi="宋体" w:eastAsia="仿宋_GB2312"/>
          <w:sz w:val="32"/>
          <w:szCs w:val="32"/>
          <w:lang w:val="en-US" w:eastAsia="zh-CN"/>
        </w:rPr>
        <w:t>1249.86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30.2</w:t>
      </w:r>
      <w:r>
        <w:rPr>
          <w:rFonts w:hint="eastAsia" w:ascii="仿宋_GB2312" w:hAnsi="仿宋_GB2312" w:eastAsia="仿宋_GB2312" w:cs="仿宋_GB2312"/>
          <w:sz w:val="32"/>
          <w:szCs w:val="32"/>
        </w:rPr>
        <w:t>%；项目支出</w:t>
      </w:r>
      <w:r>
        <w:rPr>
          <w:rFonts w:hint="eastAsia" w:ascii="宋体" w:hAnsi="宋体" w:eastAsia="仿宋_GB2312"/>
          <w:sz w:val="32"/>
          <w:szCs w:val="32"/>
          <w:lang w:val="en-US" w:eastAsia="zh-CN"/>
        </w:rPr>
        <w:t>2885.17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69.8</w:t>
      </w:r>
      <w:r>
        <w:rPr>
          <w:rFonts w:hint="eastAsia" w:ascii="仿宋_GB2312" w:hAnsi="仿宋_GB2312" w:eastAsia="仿宋_GB2312" w:cs="仿宋_GB2312"/>
          <w:sz w:val="32"/>
          <w:szCs w:val="32"/>
        </w:rPr>
        <w:t>%；上缴上级支出0万元，占0%；经营支出0万元，占0%；对附属单位补助支出0万元，占0%。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年度收入合计</w:t>
      </w:r>
      <w:r>
        <w:rPr>
          <w:rFonts w:hint="eastAsia" w:ascii="宋体" w:hAnsi="宋体"/>
          <w:sz w:val="32"/>
          <w:szCs w:val="32"/>
          <w:lang w:val="en-US" w:eastAsia="zh-CN"/>
        </w:rPr>
        <w:t>4135.03</w:t>
      </w:r>
      <w:r>
        <w:rPr>
          <w:rFonts w:hint="eastAsia" w:ascii="宋体" w:hAnsi="宋体"/>
          <w:sz w:val="32"/>
          <w:szCs w:val="32"/>
        </w:rPr>
        <w:t>万元，</w:t>
      </w:r>
      <w:r>
        <w:rPr>
          <w:rFonts w:hint="eastAsia" w:ascii="宋体" w:hAnsi="宋体"/>
          <w:sz w:val="32"/>
          <w:szCs w:val="32"/>
          <w:lang w:eastAsia="zh-CN"/>
        </w:rPr>
        <w:t>比上年同期增加</w:t>
      </w:r>
      <w:r>
        <w:rPr>
          <w:rFonts w:hint="eastAsia" w:ascii="宋体" w:hAnsi="宋体"/>
          <w:sz w:val="32"/>
          <w:szCs w:val="32"/>
          <w:lang w:val="en-US" w:eastAsia="zh-CN"/>
        </w:rPr>
        <w:t>477.08万元，增长13%，</w:t>
      </w:r>
      <w:r>
        <w:rPr>
          <w:rFonts w:hint="eastAsia" w:ascii="仿宋_GB2312" w:hAnsi="仿宋_GB2312" w:eastAsia="仿宋_GB2312" w:cs="仿宋_GB2312"/>
          <w:sz w:val="32"/>
          <w:szCs w:val="32"/>
        </w:rPr>
        <w:t>其中：财政拨款收入</w:t>
      </w:r>
      <w:r>
        <w:rPr>
          <w:rFonts w:hint="eastAsia" w:ascii="宋体" w:hAnsi="宋体" w:eastAsia="仿宋_GB2312"/>
          <w:sz w:val="32"/>
          <w:szCs w:val="32"/>
          <w:lang w:val="en-US" w:eastAsia="zh-CN"/>
        </w:rPr>
        <w:t>4135.03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%；上级补助收入0万元，占0%；事业收入0万元，占0%；经营收入0万元，占0%；附属单位上缴收入0万元，占0%；其他收入</w:t>
      </w:r>
      <w:r>
        <w:rPr>
          <w:rFonts w:hint="eastAsia" w:ascii="宋体" w:hAnsi="宋体" w:eastAsia="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adjustRightInd w:val="0"/>
        <w:snapToGrid w:val="0"/>
        <w:spacing w:line="360" w:lineRule="auto"/>
        <w:ind w:firstLine="636" w:firstLineChars="199"/>
        <w:rPr>
          <w:rFonts w:ascii="宋体" w:hAnsi="宋体"/>
          <w:sz w:val="32"/>
          <w:szCs w:val="32"/>
        </w:rPr>
      </w:pPr>
      <w:r>
        <w:rPr>
          <w:rFonts w:hint="eastAsia" w:ascii="宋体" w:hAnsi="宋体"/>
          <w:sz w:val="32"/>
          <w:szCs w:val="32"/>
          <w:lang w:eastAsia="zh-CN"/>
        </w:rPr>
        <w:t>2020</w:t>
      </w:r>
      <w:r>
        <w:rPr>
          <w:rFonts w:hint="eastAsia" w:ascii="宋体" w:hAnsi="宋体"/>
          <w:sz w:val="32"/>
          <w:szCs w:val="32"/>
        </w:rPr>
        <w:t>年度收入总计</w:t>
      </w:r>
      <w:r>
        <w:rPr>
          <w:rFonts w:hint="eastAsia" w:ascii="宋体" w:hAnsi="宋体"/>
          <w:sz w:val="32"/>
          <w:szCs w:val="32"/>
          <w:lang w:val="en-US" w:eastAsia="zh-CN"/>
        </w:rPr>
        <w:t>4135.03</w:t>
      </w:r>
      <w:r>
        <w:rPr>
          <w:rFonts w:hint="eastAsia" w:ascii="宋体" w:hAnsi="宋体"/>
          <w:sz w:val="32"/>
          <w:szCs w:val="32"/>
        </w:rPr>
        <w:t>万元，其中：一般财政拨款收入</w:t>
      </w:r>
      <w:r>
        <w:rPr>
          <w:rFonts w:hint="eastAsia" w:ascii="宋体" w:hAnsi="宋体"/>
          <w:sz w:val="32"/>
          <w:szCs w:val="32"/>
          <w:lang w:val="en-US" w:eastAsia="zh-CN"/>
        </w:rPr>
        <w:t>4135.03</w:t>
      </w:r>
      <w:r>
        <w:rPr>
          <w:rFonts w:hint="eastAsia" w:ascii="宋体" w:hAnsi="宋体"/>
          <w:sz w:val="32"/>
          <w:szCs w:val="32"/>
        </w:rPr>
        <w:t>万元，政府基金拨款收入</w:t>
      </w:r>
      <w:r>
        <w:rPr>
          <w:rFonts w:hint="eastAsia" w:ascii="宋体" w:hAnsi="宋体"/>
          <w:sz w:val="32"/>
          <w:szCs w:val="32"/>
          <w:lang w:val="en-US" w:eastAsia="zh-CN"/>
        </w:rPr>
        <w:t>0</w:t>
      </w:r>
      <w:r>
        <w:rPr>
          <w:rFonts w:hint="eastAsia" w:ascii="宋体" w:hAnsi="宋体"/>
          <w:sz w:val="32"/>
          <w:szCs w:val="32"/>
        </w:rPr>
        <w:t>万元，</w:t>
      </w:r>
      <w:r>
        <w:rPr>
          <w:rFonts w:hint="eastAsia" w:ascii="宋体" w:hAnsi="宋体"/>
          <w:sz w:val="32"/>
          <w:szCs w:val="32"/>
          <w:lang w:eastAsia="zh-CN"/>
        </w:rPr>
        <w:t>2020</w:t>
      </w:r>
      <w:r>
        <w:rPr>
          <w:rFonts w:hint="eastAsia" w:ascii="宋体" w:hAnsi="宋体"/>
          <w:sz w:val="32"/>
          <w:szCs w:val="32"/>
        </w:rPr>
        <w:t>年初结转和结余</w:t>
      </w:r>
      <w:r>
        <w:rPr>
          <w:rFonts w:hint="eastAsia" w:ascii="宋体" w:hAnsi="宋体"/>
          <w:sz w:val="32"/>
          <w:szCs w:val="32"/>
          <w:lang w:val="en-US" w:eastAsia="zh-CN"/>
        </w:rPr>
        <w:t>5.59</w:t>
      </w:r>
      <w:r>
        <w:rPr>
          <w:rFonts w:hint="eastAsia" w:ascii="宋体" w:hAnsi="宋体"/>
          <w:sz w:val="32"/>
          <w:szCs w:val="32"/>
        </w:rPr>
        <w:t>万元。</w:t>
      </w:r>
      <w:r>
        <w:rPr>
          <w:rFonts w:hint="eastAsia" w:ascii="宋体" w:hAnsi="宋体"/>
          <w:sz w:val="32"/>
          <w:szCs w:val="32"/>
          <w:lang w:eastAsia="zh-CN"/>
        </w:rPr>
        <w:t>2020</w:t>
      </w:r>
      <w:r>
        <w:rPr>
          <w:rFonts w:hint="eastAsia" w:ascii="宋体" w:hAnsi="宋体"/>
          <w:sz w:val="32"/>
          <w:szCs w:val="32"/>
        </w:rPr>
        <w:t>年度支出总计</w:t>
      </w:r>
      <w:r>
        <w:rPr>
          <w:rFonts w:hint="eastAsia" w:ascii="宋体" w:hAnsi="宋体"/>
          <w:sz w:val="32"/>
          <w:szCs w:val="32"/>
          <w:lang w:val="en-US" w:eastAsia="zh-CN"/>
        </w:rPr>
        <w:t>4135.03</w:t>
      </w:r>
      <w:r>
        <w:rPr>
          <w:rFonts w:hint="eastAsia" w:ascii="宋体" w:hAnsi="宋体"/>
          <w:sz w:val="32"/>
          <w:szCs w:val="32"/>
        </w:rPr>
        <w:t>万元，其中：</w:t>
      </w:r>
      <w:r>
        <w:rPr>
          <w:rFonts w:hint="eastAsia" w:ascii="宋体" w:hAnsi="宋体"/>
          <w:sz w:val="32"/>
          <w:szCs w:val="32"/>
          <w:lang w:eastAsia="zh-CN"/>
        </w:rPr>
        <w:t>基本支出</w:t>
      </w:r>
      <w:r>
        <w:rPr>
          <w:rFonts w:hint="eastAsia" w:ascii="宋体" w:hAnsi="宋体"/>
          <w:sz w:val="32"/>
          <w:szCs w:val="32"/>
          <w:lang w:val="en-US" w:eastAsia="zh-CN"/>
        </w:rPr>
        <w:t>1249.86</w:t>
      </w:r>
      <w:r>
        <w:rPr>
          <w:rFonts w:hint="eastAsia" w:ascii="宋体" w:hAnsi="宋体"/>
          <w:sz w:val="32"/>
          <w:szCs w:val="32"/>
        </w:rPr>
        <w:t>万元，</w:t>
      </w:r>
      <w:r>
        <w:rPr>
          <w:rFonts w:hint="eastAsia" w:ascii="宋体" w:hAnsi="宋体" w:cs="宋体"/>
          <w:sz w:val="32"/>
          <w:szCs w:val="32"/>
        </w:rPr>
        <w:t>项目</w:t>
      </w:r>
      <w:r>
        <w:rPr>
          <w:rFonts w:hint="eastAsia" w:ascii="宋体" w:hAnsi="宋体"/>
          <w:sz w:val="32"/>
          <w:szCs w:val="32"/>
        </w:rPr>
        <w:t>支出</w:t>
      </w:r>
      <w:r>
        <w:rPr>
          <w:rFonts w:hint="eastAsia" w:ascii="宋体" w:hAnsi="宋体"/>
          <w:sz w:val="32"/>
          <w:szCs w:val="32"/>
          <w:lang w:val="en-US" w:eastAsia="zh-CN"/>
        </w:rPr>
        <w:t>2885.17</w:t>
      </w:r>
      <w:r>
        <w:rPr>
          <w:rFonts w:hint="eastAsia" w:ascii="宋体" w:hAnsi="宋体"/>
          <w:sz w:val="32"/>
          <w:szCs w:val="32"/>
        </w:rPr>
        <w:t>万元，年未结转</w:t>
      </w:r>
      <w:r>
        <w:rPr>
          <w:rFonts w:hint="eastAsia" w:ascii="宋体" w:hAnsi="宋体"/>
          <w:sz w:val="32"/>
          <w:szCs w:val="32"/>
          <w:lang w:val="en-US" w:eastAsia="zh-CN"/>
        </w:rPr>
        <w:t>0</w:t>
      </w:r>
      <w:r>
        <w:rPr>
          <w:rFonts w:hint="eastAsia" w:ascii="宋体" w:hAnsi="宋体"/>
          <w:sz w:val="32"/>
          <w:szCs w:val="32"/>
        </w:rPr>
        <w:t>万元。</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rPr>
          <w:rFonts w:hint="eastAsia" w:ascii="宋体" w:hAnsi="宋体"/>
          <w:sz w:val="32"/>
          <w:szCs w:val="32"/>
          <w:lang w:eastAsia="zh-CN"/>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4135.03</w:t>
      </w:r>
      <w:r>
        <w:rPr>
          <w:rFonts w:hint="eastAsia" w:ascii="仿宋_GB2312" w:hAnsi="仿宋_GB2312" w:eastAsia="仿宋_GB2312" w:cs="仿宋_GB2312"/>
          <w:sz w:val="32"/>
          <w:szCs w:val="32"/>
        </w:rPr>
        <w:t>万元，主要用于以下方面：</w:t>
      </w:r>
      <w:r>
        <w:rPr>
          <w:rFonts w:hint="eastAsia" w:ascii="宋体" w:hAnsi="宋体"/>
          <w:sz w:val="32"/>
          <w:szCs w:val="32"/>
        </w:rPr>
        <w:t>一般公共服务支出</w:t>
      </w:r>
      <w:r>
        <w:rPr>
          <w:rFonts w:hint="eastAsia" w:ascii="宋体" w:hAnsi="宋体"/>
          <w:sz w:val="32"/>
          <w:szCs w:val="32"/>
          <w:lang w:val="en-US" w:eastAsia="zh-CN"/>
        </w:rPr>
        <w:t>429.1</w:t>
      </w:r>
      <w:r>
        <w:rPr>
          <w:rFonts w:hint="eastAsia" w:ascii="宋体" w:hAnsi="宋体"/>
          <w:sz w:val="32"/>
          <w:szCs w:val="32"/>
        </w:rPr>
        <w:t>万元，</w:t>
      </w:r>
      <w:r>
        <w:rPr>
          <w:rFonts w:hint="eastAsia" w:ascii="宋体" w:hAnsi="宋体"/>
          <w:sz w:val="32"/>
          <w:szCs w:val="32"/>
          <w:lang w:eastAsia="zh-CN"/>
        </w:rPr>
        <w:t>教育支出124.89万元，社会保障和就业支出2194.12万元，卫生健康支出</w:t>
      </w:r>
      <w:r>
        <w:rPr>
          <w:rFonts w:hint="eastAsia" w:ascii="宋体" w:hAnsi="宋体"/>
          <w:sz w:val="32"/>
          <w:szCs w:val="32"/>
          <w:lang w:val="en-US" w:eastAsia="zh-CN"/>
        </w:rPr>
        <w:t>55.04万元，</w:t>
      </w:r>
      <w:r>
        <w:rPr>
          <w:rFonts w:hint="eastAsia" w:ascii="宋体" w:hAnsi="宋体"/>
          <w:sz w:val="32"/>
          <w:szCs w:val="32"/>
          <w:lang w:eastAsia="zh-CN"/>
        </w:rPr>
        <w:t>农林水支出1331.88万元。</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1．一般公共服务（类）人力资源事务（款）</w:t>
      </w:r>
      <w:r>
        <w:rPr>
          <w:rFonts w:hint="eastAsia" w:ascii="仿宋_GB2312" w:hAnsi="仿宋_GB2312" w:eastAsia="仿宋_GB2312" w:cs="仿宋_GB2312"/>
          <w:b/>
          <w:bCs/>
          <w:sz w:val="32"/>
          <w:szCs w:val="32"/>
          <w:lang w:eastAsia="zh-CN"/>
        </w:rPr>
        <w:t>行政运行</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420.58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268.54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63.8</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节约支出</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2．一般公共服务（类）人力资源事务（款）一般行政管理事务（项）。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18.29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79.5</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节约支出</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3．一般公共服务（类）人力资源事务（款）其他人力资源事务支出（项）。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77.19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142.27</w:t>
      </w:r>
      <w:r>
        <w:rPr>
          <w:rFonts w:hint="eastAsia" w:ascii="仿宋_GB2312" w:hAnsi="仿宋_GB2312" w:eastAsia="仿宋_GB2312" w:cs="仿宋_GB2312"/>
          <w:sz w:val="32"/>
          <w:szCs w:val="32"/>
        </w:rPr>
        <w:t>万元，完成年初预算的1</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增加工资等支出</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4．教育支出（类）职业教育（款）中专教育（项）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35.69</w:t>
      </w:r>
      <w:r>
        <w:rPr>
          <w:rFonts w:hint="eastAsia" w:ascii="仿宋_GB2312" w:hAnsi="仿宋_GB2312" w:eastAsia="仿宋_GB2312" w:cs="仿宋_GB2312"/>
          <w:sz w:val="32"/>
          <w:szCs w:val="32"/>
        </w:rPr>
        <w:t>万元，完成年初预算的100%。决算数与年初预算数存在差异的主要原因是</w:t>
      </w:r>
      <w:r>
        <w:rPr>
          <w:rFonts w:hint="eastAsia" w:ascii="仿宋_GB2312" w:hAnsi="仿宋_GB2312" w:eastAsia="仿宋_GB2312" w:cs="仿宋_GB2312"/>
          <w:sz w:val="32"/>
          <w:szCs w:val="32"/>
          <w:lang w:eastAsia="zh-CN"/>
        </w:rPr>
        <w:t>增加工资等支出</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5．教育支出（类）职业教育（款）技校教育（项）。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60.02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89.2</w:t>
      </w:r>
      <w:r>
        <w:rPr>
          <w:rFonts w:hint="eastAsia" w:ascii="仿宋_GB2312" w:hAnsi="仿宋_GB2312" w:eastAsia="仿宋_GB2312" w:cs="仿宋_GB2312"/>
          <w:sz w:val="32"/>
          <w:szCs w:val="32"/>
        </w:rPr>
        <w:t>万元，完成年初预算的1</w:t>
      </w:r>
      <w:r>
        <w:rPr>
          <w:rFonts w:hint="eastAsia" w:ascii="仿宋_GB2312" w:hAnsi="仿宋_GB2312" w:eastAsia="仿宋_GB2312" w:cs="仿宋_GB2312"/>
          <w:sz w:val="32"/>
          <w:szCs w:val="32"/>
          <w:lang w:val="en-US" w:eastAsia="zh-CN"/>
        </w:rPr>
        <w:t>48.6</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增加工资等支出</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6．教育支出（类）职业教育（款）其他职业教育支出（项）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7．社会保障和就业支出（类）人力资源和社会保障管理事务（款）就业管理事务（项）。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75.89</w:t>
      </w:r>
      <w:r>
        <w:rPr>
          <w:rFonts w:hint="eastAsia" w:ascii="仿宋_GB2312" w:hAnsi="仿宋_GB2312" w:eastAsia="仿宋_GB2312" w:cs="仿宋_GB2312"/>
          <w:sz w:val="32"/>
          <w:szCs w:val="32"/>
        </w:rPr>
        <w:t>万元，完成年初预算的100%。决算数与年初预算数存在差异的主要原因是</w:t>
      </w:r>
      <w:r>
        <w:rPr>
          <w:rFonts w:hint="eastAsia" w:ascii="仿宋_GB2312" w:hAnsi="仿宋_GB2312" w:eastAsia="仿宋_GB2312" w:cs="仿宋_GB2312"/>
          <w:sz w:val="32"/>
          <w:szCs w:val="32"/>
          <w:lang w:eastAsia="zh-CN"/>
        </w:rPr>
        <w:t>增加工资等支出</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8．社会保障和就业支出（类）人力资源和社会保障管理事务（款）社会保险经办机构（项）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326.88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284.38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节约支出</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9．社会保障和就业支出（类）人力资源和社会保障管理事务（款）其他人力资源和社会保障管理事务支出（项）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万元，完成年初预算的100%。决算数与年初预算数存在差异的主要原因是</w:t>
      </w:r>
      <w:r>
        <w:rPr>
          <w:rFonts w:hint="eastAsia" w:ascii="仿宋_GB2312" w:hAnsi="仿宋_GB2312" w:eastAsia="仿宋_GB2312" w:cs="仿宋_GB2312"/>
          <w:sz w:val="32"/>
          <w:szCs w:val="32"/>
          <w:lang w:eastAsia="zh-CN"/>
        </w:rPr>
        <w:t>增加工资等支出</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10．社会保障和就业支出（类）行政事业单位离退休（款）归口管理的行政单位离退休（项）。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9.92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节约支出</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11．社会保障和就业支出（类）行政事业单位离退休（款）事业单位离退休（项）。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12．社会保障和就业支出（类）行政事业单位离退休（款）机关事业单位基本养老保险缴费支出（项）。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94.35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99.55</w:t>
      </w:r>
      <w:r>
        <w:rPr>
          <w:rFonts w:hint="eastAsia" w:ascii="仿宋_GB2312" w:hAnsi="仿宋_GB2312" w:eastAsia="仿宋_GB2312" w:cs="仿宋_GB2312"/>
          <w:sz w:val="32"/>
          <w:szCs w:val="32"/>
        </w:rPr>
        <w:t>万元，完成年初预算的10</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增加工资等支出</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13．社会保障和就业支出（类）就业补助（款）</w:t>
      </w:r>
      <w:r>
        <w:rPr>
          <w:rFonts w:hint="eastAsia" w:ascii="仿宋_GB2312" w:hAnsi="仿宋_GB2312" w:eastAsia="仿宋_GB2312" w:cs="仿宋_GB2312"/>
          <w:b/>
          <w:bCs/>
          <w:sz w:val="32"/>
          <w:szCs w:val="32"/>
          <w:lang w:eastAsia="zh-CN"/>
        </w:rPr>
        <w:t>公益性岗位补贴</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1082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1082</w:t>
      </w:r>
      <w:r>
        <w:rPr>
          <w:rFonts w:hint="eastAsia" w:ascii="仿宋_GB2312" w:hAnsi="仿宋_GB2312" w:eastAsia="仿宋_GB2312" w:cs="仿宋_GB2312"/>
          <w:sz w:val="32"/>
          <w:szCs w:val="32"/>
        </w:rPr>
        <w:t>万元，完成年初预算的100%。决算数与年初预算数存在差异的主要原因是无。</w:t>
      </w:r>
    </w:p>
    <w:p>
      <w:pPr>
        <w:widowControl/>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14．社会保障和就业支出（类）其他社会保障和就业支出（款）其他就业</w:t>
      </w:r>
      <w:r>
        <w:rPr>
          <w:rFonts w:hint="eastAsia" w:ascii="仿宋_GB2312" w:hAnsi="仿宋_GB2312" w:eastAsia="仿宋_GB2312" w:cs="仿宋_GB2312"/>
          <w:b/>
          <w:bCs/>
          <w:sz w:val="32"/>
          <w:szCs w:val="32"/>
          <w:lang w:eastAsia="zh-CN"/>
        </w:rPr>
        <w:t>补助</w:t>
      </w:r>
      <w:r>
        <w:rPr>
          <w:rFonts w:hint="eastAsia" w:ascii="仿宋_GB2312" w:hAnsi="仿宋_GB2312" w:eastAsia="仿宋_GB2312" w:cs="仿宋_GB2312"/>
          <w:b/>
          <w:bCs/>
          <w:sz w:val="32"/>
          <w:szCs w:val="32"/>
        </w:rPr>
        <w:t>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506.27</w:t>
      </w:r>
      <w:r>
        <w:rPr>
          <w:rFonts w:hint="eastAsia" w:ascii="仿宋_GB2312" w:hAnsi="仿宋_GB2312" w:eastAsia="仿宋_GB2312" w:cs="仿宋_GB2312"/>
          <w:sz w:val="32"/>
          <w:szCs w:val="32"/>
        </w:rPr>
        <w:t>万元，完成年初预算的100%。决算数与年初预算数存在差异的主要原因是</w:t>
      </w:r>
      <w:r>
        <w:rPr>
          <w:rFonts w:hint="eastAsia" w:ascii="仿宋_GB2312" w:hAnsi="仿宋_GB2312" w:eastAsia="仿宋_GB2312" w:cs="仿宋_GB2312"/>
          <w:sz w:val="32"/>
          <w:szCs w:val="32"/>
          <w:lang w:eastAsia="zh-CN"/>
        </w:rPr>
        <w:t>增加工资等支出</w:t>
      </w:r>
      <w:r>
        <w:rPr>
          <w:rFonts w:hint="eastAsia" w:ascii="仿宋_GB2312" w:hAnsi="仿宋_GB2312" w:eastAsia="仿宋_GB2312" w:cs="仿宋_GB2312"/>
          <w:sz w:val="32"/>
          <w:szCs w:val="32"/>
        </w:rPr>
        <w:t>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社会保障和就业支出（类）其他社会保障和就业支出（款）其他社会保障和就业支出（项）。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万元，完成年初预算的100%。决算数与年初预算数存在差异的主要原因是</w:t>
      </w:r>
      <w:r>
        <w:rPr>
          <w:rFonts w:hint="eastAsia" w:ascii="仿宋_GB2312" w:hAnsi="仿宋_GB2312" w:eastAsia="仿宋_GB2312" w:cs="仿宋_GB2312"/>
          <w:sz w:val="32"/>
          <w:szCs w:val="32"/>
          <w:lang w:eastAsia="zh-CN"/>
        </w:rPr>
        <w:t>增加工资等支出</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．卫生健康支出（类）行政事业单位医疗（款）行政单位医疗（项）。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44.11</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val="en-US" w:eastAsia="zh-CN"/>
        </w:rPr>
        <w:t>44.11</w:t>
      </w:r>
      <w:r>
        <w:rPr>
          <w:rFonts w:hint="eastAsia" w:ascii="仿宋_GB2312" w:hAnsi="仿宋_GB2312" w:eastAsia="仿宋_GB2312" w:cs="仿宋_GB2312"/>
          <w:sz w:val="32"/>
          <w:szCs w:val="32"/>
        </w:rPr>
        <w:t>万元，完成年初预算的100%。决算数与年初预算数存在差异的主要原因是无。</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．卫生健康支出（类）行政事业单位医疗（款）事业单位医疗（项）。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增加工资等支出</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．卫生健康支出（类）行政事业单位医疗（款）其他行政事业单位医疗支出（项）。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9.07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节约支出</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19．农林水支出（类）扶贫（款）生产发展（项）。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w:t>
      </w:r>
      <w:r>
        <w:rPr>
          <w:rFonts w:hint="eastAsia" w:ascii="仿宋_GB2312" w:hAnsi="仿宋_GB2312" w:eastAsia="仿宋_GB2312" w:cs="仿宋_GB2312"/>
          <w:sz w:val="32"/>
          <w:szCs w:val="32"/>
          <w:lang w:val="en-US" w:eastAsia="zh-CN"/>
        </w:rPr>
        <w:t>331.88</w:t>
      </w:r>
      <w:r>
        <w:rPr>
          <w:rFonts w:hint="eastAsia" w:ascii="仿宋_GB2312" w:hAnsi="仿宋_GB2312" w:eastAsia="仿宋_GB2312" w:cs="仿宋_GB2312"/>
          <w:sz w:val="32"/>
          <w:szCs w:val="32"/>
        </w:rPr>
        <w:t>万元，完成年初预算的100%。决算数与年初预算数存在差异的主要原因是</w:t>
      </w:r>
      <w:r>
        <w:rPr>
          <w:rFonts w:hint="eastAsia" w:ascii="仿宋_GB2312" w:hAnsi="仿宋_GB2312" w:eastAsia="仿宋_GB2312" w:cs="仿宋_GB2312"/>
          <w:sz w:val="32"/>
          <w:szCs w:val="32"/>
          <w:lang w:eastAsia="zh-CN"/>
        </w:rPr>
        <w:t>扶贫支出等支出</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．农林水支出（类）扶贫（款）社会发展（项）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万元，完成年初预算的100%。决算数与年初预算数存在差异的主要原因是</w:t>
      </w:r>
      <w:r>
        <w:rPr>
          <w:rFonts w:hint="eastAsia" w:ascii="仿宋_GB2312" w:hAnsi="仿宋_GB2312" w:eastAsia="仿宋_GB2312" w:cs="仿宋_GB2312"/>
          <w:sz w:val="32"/>
          <w:szCs w:val="32"/>
          <w:lang w:eastAsia="zh-CN"/>
        </w:rPr>
        <w:t>扶贫支出等支出</w:t>
      </w:r>
      <w:r>
        <w:rPr>
          <w:rFonts w:hint="eastAsia" w:ascii="仿宋_GB2312" w:hAnsi="仿宋_GB2312" w:eastAsia="仿宋_GB2312" w:cs="仿宋_GB2312"/>
          <w:sz w:val="32"/>
          <w:szCs w:val="32"/>
        </w:rPr>
        <w:t>无。</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年度一般公共预算财政拨款基本支出</w:t>
      </w:r>
      <w:r>
        <w:rPr>
          <w:rFonts w:hint="eastAsia" w:ascii="宋体" w:hAnsi="宋体" w:eastAsia="仿宋_GB2312"/>
          <w:sz w:val="32"/>
          <w:szCs w:val="32"/>
          <w:lang w:val="en-US" w:eastAsia="zh-CN"/>
        </w:rPr>
        <w:t>1249.86</w:t>
      </w:r>
      <w:r>
        <w:rPr>
          <w:rFonts w:hint="eastAsia" w:ascii="仿宋_GB2312" w:hAnsi="仿宋_GB2312" w:eastAsia="仿宋_GB2312" w:cs="仿宋_GB2312"/>
          <w:sz w:val="32"/>
          <w:szCs w:val="32"/>
        </w:rPr>
        <w:t>万</w:t>
      </w:r>
      <w:r>
        <w:rPr>
          <w:rFonts w:hint="eastAsia" w:ascii="仿宋_GB2312" w:hAnsi="仿宋_GB2312" w:eastAsia="仿宋_GB2312" w:cs="仿宋_GB2312"/>
          <w:color w:val="000000"/>
          <w:sz w:val="32"/>
          <w:szCs w:val="32"/>
        </w:rPr>
        <w:t>元。与上年度相比减少</w:t>
      </w:r>
      <w:r>
        <w:rPr>
          <w:rFonts w:hint="eastAsia" w:ascii="仿宋_GB2312" w:hAnsi="仿宋_GB2312" w:eastAsia="仿宋_GB2312" w:cs="仿宋_GB2312"/>
          <w:color w:val="000000"/>
          <w:sz w:val="32"/>
          <w:szCs w:val="32"/>
          <w:lang w:val="en-US" w:eastAsia="zh-CN"/>
        </w:rPr>
        <w:t>298.11</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19.3</w:t>
      </w:r>
      <w:r>
        <w:rPr>
          <w:rFonts w:hint="eastAsia" w:ascii="仿宋_GB2312" w:hAnsi="仿宋_GB2312" w:eastAsia="仿宋_GB2312" w:cs="仿宋_GB2312"/>
          <w:color w:val="000000"/>
          <w:sz w:val="32"/>
          <w:szCs w:val="32"/>
        </w:rPr>
        <w:t>%，主要原因精简开支。其中：人员经费</w:t>
      </w:r>
      <w:r>
        <w:rPr>
          <w:rFonts w:hint="eastAsia" w:ascii="仿宋_GB2312" w:hAnsi="仿宋_GB2312" w:eastAsia="仿宋_GB2312" w:cs="仿宋_GB2312"/>
          <w:color w:val="000000"/>
          <w:sz w:val="32"/>
          <w:szCs w:val="32"/>
          <w:lang w:val="en-US" w:eastAsia="zh-CN"/>
        </w:rPr>
        <w:t>966.89</w:t>
      </w:r>
      <w:r>
        <w:rPr>
          <w:rFonts w:hint="eastAsia" w:ascii="仿宋_GB2312" w:hAnsi="仿宋_GB2312" w:eastAsia="仿宋_GB2312" w:cs="仿宋_GB2312"/>
          <w:color w:val="000000"/>
          <w:sz w:val="32"/>
          <w:szCs w:val="32"/>
        </w:rPr>
        <w:t>万元，主要包括：基本工资、津贴补贴、奖金、伙食补助费、绩效工资、机关事业单位基本养老保险缴费、职业年金缴费、职工基本医疗保险缴费、公务员</w:t>
      </w:r>
      <w:r>
        <w:rPr>
          <w:rFonts w:hint="eastAsia" w:ascii="仿宋_GB2312" w:hAnsi="仿宋_GB2312" w:eastAsia="仿宋_GB2312" w:cs="仿宋_GB2312"/>
          <w:sz w:val="32"/>
          <w:szCs w:val="32"/>
        </w:rPr>
        <w:t>医疗补助缴费、其他社会保障缴费、住房公积金、医疗费、其他工资福利支出、离休费、退休费、抚恤金、退职（役）费、抚恤金、生活补助、救济费、医疗费补助、助学金、奖励金、其他对个人和家庭的补助支出；公用经费</w:t>
      </w:r>
      <w:r>
        <w:rPr>
          <w:rFonts w:hint="eastAsia" w:ascii="仿宋_GB2312" w:hAnsi="仿宋_GB2312" w:eastAsia="仿宋_GB2312" w:cs="仿宋_GB2312"/>
          <w:sz w:val="32"/>
          <w:szCs w:val="32"/>
          <w:lang w:val="en-US" w:eastAsia="zh-CN"/>
        </w:rPr>
        <w:t>282.97</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万元，支出决算为</w:t>
      </w:r>
      <w:r>
        <w:rPr>
          <w:rFonts w:hint="eastAsia" w:ascii="宋体" w:hAnsi="宋体" w:eastAsia="仿宋_GB2312"/>
          <w:sz w:val="32"/>
          <w:szCs w:val="32"/>
          <w:lang w:val="en-US" w:eastAsia="zh-CN"/>
        </w:rPr>
        <w:t>2.82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88.1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比上年同期减少</w:t>
      </w:r>
      <w:r>
        <w:rPr>
          <w:rFonts w:hint="eastAsia" w:ascii="仿宋_GB2312" w:hAnsi="仿宋_GB2312" w:eastAsia="仿宋_GB2312" w:cs="仿宋_GB2312"/>
          <w:sz w:val="32"/>
          <w:szCs w:val="32"/>
          <w:lang w:val="en-US" w:eastAsia="zh-CN"/>
        </w:rPr>
        <w:t>3.82万元，下降57.5%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年度“三公”经费支出决算数与预算数存在差异的主要原因是精简开支。</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年度“三公”经费财政拨款支出决算中，因公出国（境）费支出决算0万元，完成预算的0%，占0%；公务用车购置及运行费支出决算</w:t>
      </w:r>
      <w:r>
        <w:rPr>
          <w:rFonts w:hint="eastAsia" w:ascii="仿宋_GB2312" w:hAnsi="仿宋_GB2312" w:eastAsia="仿宋_GB2312" w:cs="仿宋_GB2312"/>
          <w:sz w:val="32"/>
          <w:szCs w:val="32"/>
          <w:lang w:val="en-US" w:eastAsia="zh-CN"/>
        </w:rPr>
        <w:t>2.82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88.1</w:t>
      </w:r>
      <w:r>
        <w:rPr>
          <w:rFonts w:hint="eastAsia" w:ascii="仿宋_GB2312" w:hAnsi="仿宋_GB2312" w:eastAsia="仿宋_GB2312" w:cs="仿宋_GB2312"/>
          <w:sz w:val="32"/>
          <w:szCs w:val="32"/>
        </w:rPr>
        <w:t>%，占0%；公务接待费支出决算</w:t>
      </w:r>
      <w:r>
        <w:rPr>
          <w:rFonts w:hint="eastAsia" w:ascii="宋体" w:hAnsi="宋体" w:eastAsia="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预算为0元，支出决算为0万元，完成预算的0%。</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88.1</w:t>
      </w:r>
      <w:r>
        <w:rPr>
          <w:rFonts w:hint="eastAsia" w:ascii="仿宋_GB2312" w:hAnsi="仿宋_GB2312" w:eastAsia="仿宋_GB2312" w:cs="仿宋_GB2312"/>
          <w:sz w:val="32"/>
          <w:szCs w:val="32"/>
        </w:rPr>
        <w:t>%。决算数与预算数存在差异的主要原因是精简开支。其中：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2.82</w:t>
      </w:r>
      <w:r>
        <w:rPr>
          <w:rFonts w:hint="eastAsia" w:ascii="仿宋_GB2312" w:hAnsi="仿宋_GB2312" w:eastAsia="仿宋_GB2312" w:cs="仿宋_GB2312"/>
          <w:sz w:val="32"/>
          <w:szCs w:val="32"/>
        </w:rPr>
        <w:t>万元。主要用于劳动用工监察及业务用车。</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年期末，部门开支财政拨款的公务用车保有量为2辆。</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公务用车购置及运行费支出决算比上年度减少</w:t>
      </w: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57.5</w:t>
      </w:r>
      <w:r>
        <w:rPr>
          <w:rFonts w:hint="eastAsia" w:ascii="仿宋_GB2312" w:hAnsi="仿宋_GB2312" w:eastAsia="仿宋_GB2312" w:cs="仿宋_GB2312"/>
          <w:sz w:val="32"/>
          <w:szCs w:val="32"/>
        </w:rPr>
        <w:t>%,主要原因是精简开支。</w:t>
      </w:r>
    </w:p>
    <w:p>
      <w:pPr>
        <w:widowControl/>
        <w:spacing w:line="59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%。决算数与预算数存在差异的主要原因是精简开支。</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年，我部门（单位）纳入预算绩效管理的支出总额为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万元，其中人员经费支出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万元，公用经费支出0万元；支出项目共0个，支出金额0万元。其中，进行项目绩效自评0个，自评金额0万元；纳入重点绩效评价（部门评价或财政评价）0个，评价金额0万元。</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年度政府性基金预算财政拨款支出年决算为</w:t>
      </w:r>
      <w:r>
        <w:rPr>
          <w:rFonts w:hint="eastAsia" w:ascii="宋体" w:hAnsi="宋体" w:eastAsia="仿宋_GB2312"/>
          <w:sz w:val="32"/>
          <w:szCs w:val="32"/>
          <w:lang w:val="en-US" w:eastAsia="zh-CN"/>
        </w:rPr>
        <w:t>0</w:t>
      </w:r>
      <w:r>
        <w:rPr>
          <w:rFonts w:hint="eastAsia" w:ascii="仿宋_GB2312" w:hAnsi="仿宋_GB2312" w:eastAsia="仿宋_GB2312" w:cs="仿宋_GB2312"/>
          <w:sz w:val="32"/>
          <w:szCs w:val="32"/>
        </w:rPr>
        <w:t>万元。</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年度机关运行经费</w:t>
      </w:r>
      <w:r>
        <w:rPr>
          <w:rFonts w:hint="eastAsia" w:ascii="仿宋_GB2312" w:hAnsi="仿宋_GB2312" w:eastAsia="仿宋_GB2312" w:cs="仿宋_GB2312"/>
          <w:sz w:val="32"/>
          <w:szCs w:val="32"/>
          <w:u w:val="dotDash"/>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27.96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122.23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437.2</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增加扶贫及疫情防控</w:t>
      </w:r>
      <w:r>
        <w:rPr>
          <w:rFonts w:hint="eastAsia" w:ascii="仿宋_GB2312" w:hAnsi="仿宋_GB2312" w:eastAsia="仿宋_GB2312" w:cs="仿宋_GB2312"/>
          <w:sz w:val="32"/>
          <w:szCs w:val="32"/>
        </w:rPr>
        <w:t>开支。</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122.23</w:t>
      </w:r>
      <w:r>
        <w:rPr>
          <w:rFonts w:hint="eastAsia" w:ascii="仿宋_GB2312" w:hAnsi="仿宋_GB2312" w:eastAsia="仿宋_GB2312" w:cs="仿宋_GB2312"/>
          <w:sz w:val="32"/>
          <w:szCs w:val="32"/>
        </w:rPr>
        <w:t>万元，较上年度减少</w:t>
      </w:r>
      <w:r>
        <w:rPr>
          <w:rFonts w:hint="eastAsia" w:ascii="仿宋_GB2312" w:hAnsi="仿宋_GB2312" w:eastAsia="仿宋_GB2312" w:cs="仿宋_GB2312"/>
          <w:sz w:val="32"/>
          <w:szCs w:val="32"/>
          <w:lang w:val="en-US" w:eastAsia="zh-CN"/>
        </w:rPr>
        <w:t>388.87</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76.1</w:t>
      </w:r>
      <w:r>
        <w:rPr>
          <w:rFonts w:hint="eastAsia" w:ascii="仿宋_GB2312" w:hAnsi="仿宋_GB2312" w:eastAsia="仿宋_GB2312" w:cs="仿宋_GB2312"/>
          <w:sz w:val="32"/>
          <w:szCs w:val="32"/>
        </w:rPr>
        <w:t>%。减少的主要原因是精简开支。</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年期末，我部门共有车辆2辆，其中：省级领导干部用车0辆、主要领导干部用车0辆、机要通信用车0辆、应急保障车0辆、执法执勤用车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辆、离退休干部用车0辆、其他用车0辆；单位价值50万元以上通用设备0台（套），单位价值100万元以上专用设备0台（套）。</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四部分  名词解释</w:t>
      </w:r>
    </w:p>
    <w:p>
      <w:pPr>
        <w:jc w:val="center"/>
        <w:rPr>
          <w:rFonts w:ascii="黑体" w:hAnsi="黑体" w:eastAsia="黑体" w:cs="黑体"/>
          <w:sz w:val="48"/>
          <w:szCs w:val="48"/>
        </w:r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footerReference r:id="rId4" w:type="default"/>
      <w:footerReference r:id="rId5" w:type="even"/>
      <w:pgSz w:w="11906" w:h="16838"/>
      <w:pgMar w:top="1928" w:right="1474" w:bottom="1701" w:left="1588"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 w:name="Calibri">
    <w:panose1 w:val="020F0502020204030204"/>
    <w:charset w:val="00"/>
    <w:family w:val="auto"/>
    <w:pitch w:val="default"/>
    <w:sig w:usb0="E0002A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2054" o:spid="_x0000_s1026" style="position:absolute;left:0;margin-top:0pt;height:11pt;width:14.15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rect>
      </w:pict>
    </w:r>
    <w:r>
      <w:rPr>
        <w:rFonts w:ascii="Calibri" w:hAnsi="Calibri" w:eastAsia="宋体" w:cs="黑体"/>
        <w:kern w:val="2"/>
        <w:sz w:val="18"/>
        <w:szCs w:val="18"/>
        <w:lang w:val="en-US" w:eastAsia="zh-CN" w:bidi="ar-SA"/>
      </w:rPr>
      <w:pict>
        <v:rect id="文本框 1027" o:spid="_x0000_s1025" style="position:absolute;left:0;margin-top:0pt;height:12.8pt;width:9.0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2055" o:spid="_x0000_s1027"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singleLevel"/>
    <w:tmpl w:val="00000004"/>
    <w:lvl w:ilvl="0" w:tentative="1">
      <w:start w:val="1"/>
      <w:numFmt w:val="chineseCounting"/>
      <w:suff w:val="nothing"/>
      <w:lvlText w:val="%1、"/>
      <w:lvlJc w:val="left"/>
    </w:lvl>
  </w:abstractNum>
  <w:num w:numId="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5">
    <w:name w:val="Default Paragraph Font"/>
  </w:style>
  <w:style w:type="paragraph" w:styleId="2">
    <w:name w:val="annotation text"/>
    <w:basedOn w:val="1"/>
    <w:pPr>
      <w:jc w:val="left"/>
    </w:pPr>
  </w:style>
  <w:style w:type="paragraph" w:styleId="3">
    <w:name w:val="footer"/>
    <w:basedOn w:val="1"/>
    <w:pPr>
      <w:tabs>
        <w:tab w:val="center" w:pos="4153"/>
        <w:tab w:val="right" w:pos="8306"/>
      </w:tabs>
      <w:snapToGrid w:val="0"/>
      <w:jc w:val="left"/>
    </w:pPr>
    <w:rPr>
      <w:sz w:val="18"/>
      <w:szCs w:val="18"/>
    </w:rPr>
  </w:style>
  <w:style w:type="paragraph" w:styleId="4">
    <w:name w:val="header"/>
    <w:basedOn w:val="1"/>
    <w:link w:val="12"/>
    <w:pPr>
      <w:pBdr>
        <w:bottom w:val="single" w:color="auto" w:sz="6" w:space="1"/>
      </w:pBdr>
      <w:tabs>
        <w:tab w:val="center" w:pos="4153"/>
        <w:tab w:val="right" w:pos="8306"/>
      </w:tabs>
      <w:snapToGrid w:val="0"/>
      <w:jc w:val="center"/>
    </w:pPr>
    <w:rPr>
      <w:rFonts w:ascii="Calibri" w:hAnsi="Calibri" w:eastAsia="宋体" w:cs="黑体"/>
      <w:kern w:val="2"/>
      <w:sz w:val="18"/>
      <w:szCs w:val="18"/>
    </w:rPr>
  </w:style>
  <w:style w:type="paragraph" w:customStyle="1" w:styleId="6">
    <w:name w:val="列表段落1"/>
    <w:basedOn w:val="1"/>
    <w:pPr>
      <w:ind w:firstLine="420" w:firstLineChars="200"/>
    </w:pPr>
  </w:style>
  <w:style w:type="character" w:customStyle="1" w:styleId="7">
    <w:name w:val="annotation reference"/>
    <w:basedOn w:val="5"/>
    <w:rPr>
      <w:sz w:val="21"/>
      <w:szCs w:val="21"/>
    </w:rPr>
  </w:style>
  <w:style w:type="character" w:customStyle="1" w:styleId="8">
    <w:name w:val="font11"/>
    <w:basedOn w:val="5"/>
    <w:rPr>
      <w:rFonts w:hint="eastAsia" w:ascii="宋体" w:hAnsi="宋体" w:eastAsia="宋体" w:cs="宋体"/>
      <w:color w:val="000000"/>
      <w:sz w:val="20"/>
      <w:szCs w:val="20"/>
      <w:u w:val="none"/>
    </w:rPr>
  </w:style>
  <w:style w:type="character" w:customStyle="1" w:styleId="9">
    <w:name w:val="font01"/>
    <w:basedOn w:val="5"/>
    <w:rPr>
      <w:rFonts w:hint="eastAsia" w:ascii="宋体" w:hAnsi="宋体" w:eastAsia="宋体" w:cs="宋体"/>
      <w:color w:val="000000"/>
      <w:sz w:val="22"/>
      <w:szCs w:val="22"/>
      <w:u w:val="none"/>
    </w:rPr>
  </w:style>
  <w:style w:type="character" w:customStyle="1" w:styleId="10">
    <w:name w:val="font51"/>
    <w:basedOn w:val="5"/>
    <w:rPr>
      <w:rFonts w:hint="eastAsia" w:ascii="宋体" w:hAnsi="宋体" w:eastAsia="宋体" w:cs="宋体"/>
      <w:color w:val="000000"/>
      <w:sz w:val="24"/>
      <w:szCs w:val="24"/>
      <w:u w:val="none"/>
    </w:rPr>
  </w:style>
  <w:style w:type="character" w:customStyle="1" w:styleId="11">
    <w:name w:val="font41"/>
    <w:basedOn w:val="5"/>
    <w:rPr>
      <w:rFonts w:hint="eastAsia" w:ascii="宋体" w:hAnsi="宋体" w:eastAsia="宋体" w:cs="宋体"/>
      <w:color w:val="000000"/>
      <w:sz w:val="24"/>
      <w:szCs w:val="24"/>
      <w:u w:val="none"/>
    </w:rPr>
  </w:style>
  <w:style w:type="character" w:customStyle="1" w:styleId="12">
    <w:name w:val="页眉 字符"/>
    <w:basedOn w:val="5"/>
    <w:link w:val="4"/>
    <w:semiHidden/>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1007</Words>
  <Characters>5742</Characters>
  <Lines>47</Lines>
  <Paragraphs>13</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2021-06-10T00:15:00Z</dcterms:created>
  <dc:creator>Administrator</dc:creator>
  <dcterms:modified xsi:type="dcterms:W3CDTF">2022-03-15T11:20:01Z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C9BE17F94E9546689C1D0ED9A869F8E6</vt:lpwstr>
  </property>
</Properties>
</file>