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宋体" w:cs="Times New Roman"/>
          <w:sz w:val="44"/>
          <w:szCs w:val="52"/>
        </w:rPr>
      </w:pPr>
    </w:p>
    <w:p>
      <w:pPr>
        <w:jc w:val="center"/>
        <w:rPr>
          <w:rFonts w:ascii="Calibri" w:hAnsi="Calibri" w:eastAsia="宋体" w:cs="Times New Roman"/>
          <w:sz w:val="44"/>
          <w:szCs w:val="52"/>
        </w:rPr>
      </w:pPr>
    </w:p>
    <w:p>
      <w:pPr>
        <w:jc w:val="center"/>
        <w:rPr>
          <w:rFonts w:ascii="Calibri" w:hAnsi="Calibri" w:eastAsia="宋体" w:cs="Times New Roman"/>
          <w:sz w:val="44"/>
          <w:szCs w:val="52"/>
        </w:rPr>
      </w:pPr>
    </w:p>
    <w:p>
      <w:pPr>
        <w:jc w:val="center"/>
        <w:rPr>
          <w:rFonts w:ascii="Calibri" w:hAnsi="Calibri" w:eastAsia="宋体" w:cs="Times New Roman"/>
          <w:sz w:val="44"/>
          <w:szCs w:val="52"/>
        </w:rPr>
      </w:pPr>
    </w:p>
    <w:p>
      <w:pPr>
        <w:spacing w:line="640" w:lineRule="exact"/>
        <w:jc w:val="center"/>
        <w:rPr>
          <w:rFonts w:ascii="Calibri" w:hAnsi="Calibri" w:eastAsia="宋体" w:cs="Times New Roman"/>
          <w:sz w:val="44"/>
          <w:szCs w:val="52"/>
        </w:rPr>
      </w:pPr>
    </w:p>
    <w:p>
      <w:pPr>
        <w:spacing w:line="640" w:lineRule="exact"/>
        <w:jc w:val="center"/>
        <w:rPr>
          <w:rFonts w:ascii="Calibri" w:hAnsi="Calibri" w:eastAsia="宋体" w:cs="Times New Roman"/>
          <w:sz w:val="44"/>
          <w:szCs w:val="52"/>
        </w:rPr>
      </w:pPr>
    </w:p>
    <w:p>
      <w:pPr>
        <w:jc w:val="center"/>
        <w:rPr>
          <w:rFonts w:ascii="Times New Roman" w:hAnsi="Times New Roman" w:eastAsia="仿宋_GB2312" w:cs="Times New Roman"/>
          <w:sz w:val="32"/>
          <w:szCs w:val="40"/>
        </w:rPr>
      </w:pPr>
      <w:r>
        <w:rPr>
          <w:rFonts w:hint="eastAsia" w:ascii="Times New Roman" w:hAnsi="Times New Roman" w:eastAsia="仿宋_GB2312" w:cs="Times New Roman"/>
          <w:sz w:val="32"/>
          <w:szCs w:val="40"/>
        </w:rPr>
        <w:t>伊放管服组</w:t>
      </w:r>
      <w:r>
        <w:rPr>
          <w:rFonts w:hint="eastAsia" w:ascii="Times New Roman" w:hAnsi="Times New Roman" w:eastAsia="仿宋_GB2312" w:cs="Times New Roman"/>
          <w:sz w:val="32"/>
          <w:szCs w:val="40"/>
          <w:lang w:val="en-US" w:eastAsia="zh-CN"/>
        </w:rPr>
        <w:t>办</w:t>
      </w:r>
      <w:r>
        <w:rPr>
          <w:rFonts w:hint="eastAsia" w:ascii="Times New Roman" w:hAnsi="Times New Roman" w:eastAsia="仿宋_GB2312" w:cs="Times New Roman"/>
          <w:sz w:val="32"/>
          <w:szCs w:val="40"/>
        </w:rPr>
        <w:t>〔</w:t>
      </w:r>
      <w:r>
        <w:rPr>
          <w:rFonts w:ascii="Times New Roman" w:hAnsi="Times New Roman" w:eastAsia="仿宋_GB2312" w:cs="Times New Roman"/>
          <w:sz w:val="32"/>
          <w:szCs w:val="40"/>
        </w:rPr>
        <w:t>20</w:t>
      </w:r>
      <w:r>
        <w:rPr>
          <w:rFonts w:hint="eastAsia" w:ascii="Times New Roman" w:hAnsi="Times New Roman" w:eastAsia="仿宋_GB2312" w:cs="Times New Roman"/>
          <w:sz w:val="32"/>
          <w:szCs w:val="40"/>
        </w:rPr>
        <w:t>21〕</w:t>
      </w:r>
      <w:r>
        <w:rPr>
          <w:rFonts w:hint="eastAsia" w:ascii="Times New Roman" w:hAnsi="Times New Roman" w:eastAsia="仿宋_GB2312" w:cs="Times New Roman"/>
          <w:sz w:val="32"/>
          <w:szCs w:val="40"/>
          <w:lang w:val="en-US" w:eastAsia="zh-CN"/>
        </w:rPr>
        <w:t>17</w:t>
      </w:r>
      <w:r>
        <w:rPr>
          <w:rFonts w:hint="eastAsia" w:ascii="Times New Roman" w:hAnsi="Times New Roman" w:eastAsia="仿宋_GB2312" w:cs="Times New Roman"/>
          <w:sz w:val="32"/>
          <w:szCs w:val="40"/>
        </w:rPr>
        <w:t>号</w:t>
      </w:r>
    </w:p>
    <w:p>
      <w:pPr>
        <w:spacing w:line="592" w:lineRule="exact"/>
        <w:rPr>
          <w:rFonts w:ascii="楷体_GB2312" w:hAnsi="Times New Roman" w:eastAsia="楷体_GB2312" w:cs="Times New Roman"/>
          <w:sz w:val="32"/>
          <w:szCs w:val="32"/>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40" w:lineRule="exact"/>
        <w:ind w:left="0" w:leftChars="0" w:right="0" w:rightChars="0" w:firstLine="0" w:firstLineChars="0"/>
        <w:jc w:val="center"/>
        <w:textAlignment w:val="top"/>
        <w:outlineLvl w:val="1"/>
        <w:rPr>
          <w:rFonts w:hint="eastAsia" w:ascii="方正小标宋简体" w:hAnsi="方正小标宋简体" w:eastAsia="方正小标宋简体" w:cs="方正小标宋简体"/>
          <w:b w:val="0"/>
          <w:bCs/>
          <w:i w:val="0"/>
          <w:caps w:val="0"/>
          <w:color w:val="000000"/>
          <w:spacing w:val="0"/>
          <w:sz w:val="44"/>
          <w:szCs w:val="44"/>
          <w:shd w:val="clear" w:color="auto" w:fill="FFFFFF"/>
          <w:lang w:val="en-US" w:eastAsia="zh-CN"/>
        </w:rPr>
      </w:pPr>
      <w:r>
        <w:rPr>
          <w:rFonts w:hint="eastAsia" w:ascii="方正小标宋简体" w:hAnsi="方正小标宋简体" w:eastAsia="方正小标宋简体" w:cs="方正小标宋简体"/>
          <w:b w:val="0"/>
          <w:bCs/>
          <w:i w:val="0"/>
          <w:caps w:val="0"/>
          <w:color w:val="000000"/>
          <w:spacing w:val="0"/>
          <w:sz w:val="44"/>
          <w:szCs w:val="44"/>
          <w:shd w:val="clear" w:color="auto" w:fill="FFFFFF"/>
          <w:lang w:val="en-US" w:eastAsia="zh-CN"/>
        </w:rPr>
        <w:t>关于印发伊川县行政审批中介服务管理</w:t>
      </w:r>
    </w:p>
    <w:p>
      <w:pPr>
        <w:spacing w:line="700" w:lineRule="exact"/>
        <w:jc w:val="center"/>
        <w:rPr>
          <w:rFonts w:ascii="宋体" w:hAnsi="宋体" w:eastAsia="宋体" w:cs="宋体"/>
          <w:b/>
          <w:sz w:val="44"/>
          <w:szCs w:val="44"/>
        </w:rPr>
      </w:pPr>
      <w:r>
        <w:rPr>
          <w:rFonts w:hint="eastAsia" w:ascii="方正小标宋简体" w:hAnsi="方正小标宋简体" w:eastAsia="方正小标宋简体" w:cs="方正小标宋简体"/>
          <w:b w:val="0"/>
          <w:bCs/>
          <w:i w:val="0"/>
          <w:caps w:val="0"/>
          <w:color w:val="000000"/>
          <w:spacing w:val="0"/>
          <w:sz w:val="44"/>
          <w:szCs w:val="44"/>
          <w:shd w:val="clear" w:color="auto" w:fill="FFFFFF"/>
          <w:lang w:val="en-US" w:eastAsia="zh-CN"/>
        </w:rPr>
        <w:t>暂行办法的通知</w:t>
      </w:r>
    </w:p>
    <w:p>
      <w:pPr>
        <w:spacing w:line="700" w:lineRule="exact"/>
        <w:jc w:val="center"/>
        <w:rPr>
          <w:rFonts w:ascii="宋体" w:hAnsi="宋体" w:eastAsia="宋体" w:cs="Times New Roman"/>
          <w:b/>
          <w:color w:val="000000"/>
          <w:kern w:val="0"/>
          <w:sz w:val="44"/>
        </w:rPr>
      </w:pPr>
    </w:p>
    <w:p>
      <w:pPr>
        <w:pStyle w:val="13"/>
        <w:keepNext w:val="0"/>
        <w:keepLines w:val="0"/>
        <w:pageBreakBefore w:val="0"/>
        <w:widowControl w:val="0"/>
        <w:kinsoku/>
        <w:wordWrap/>
        <w:overflowPunct/>
        <w:topLinePunct w:val="0"/>
        <w:autoSpaceDE/>
        <w:autoSpaceDN/>
        <w:bidi w:val="0"/>
        <w:adjustRightInd/>
        <w:snapToGrid/>
        <w:spacing w:line="624" w:lineRule="exact"/>
        <w:ind w:left="0" w:leftChars="0" w:right="0" w:rightChars="0" w:firstLine="0" w:firstLineChars="0"/>
        <w:jc w:val="left"/>
        <w:textAlignment w:val="auto"/>
        <w:outlineLvl w:val="9"/>
        <w:rPr>
          <w:rFonts w:hint="eastAsia" w:eastAsia="仿宋_GB2312"/>
          <w:sz w:val="32"/>
          <w:szCs w:val="32"/>
          <w:lang w:val="en-US" w:eastAsia="zh-CN"/>
        </w:rPr>
      </w:pPr>
      <w:r>
        <w:rPr>
          <w:rFonts w:hint="eastAsia" w:eastAsia="仿宋_GB2312"/>
          <w:sz w:val="32"/>
          <w:szCs w:val="32"/>
          <w:lang w:val="en-US" w:eastAsia="zh-CN"/>
        </w:rPr>
        <w:t>各乡（镇）人民政府、街道办事处，县直有关部门：</w:t>
      </w:r>
    </w:p>
    <w:p>
      <w:pPr>
        <w:pStyle w:val="13"/>
        <w:keepNext w:val="0"/>
        <w:keepLines w:val="0"/>
        <w:pageBreakBefore w:val="0"/>
        <w:widowControl w:val="0"/>
        <w:kinsoku/>
        <w:wordWrap/>
        <w:overflowPunct/>
        <w:topLinePunct w:val="0"/>
        <w:autoSpaceDE/>
        <w:autoSpaceDN/>
        <w:bidi w:val="0"/>
        <w:adjustRightInd/>
        <w:snapToGrid/>
        <w:spacing w:line="626" w:lineRule="exact"/>
        <w:ind w:left="0" w:leftChars="0" w:right="0" w:rightChars="0" w:firstLine="640" w:firstLineChars="200"/>
        <w:jc w:val="left"/>
        <w:textAlignment w:val="auto"/>
        <w:outlineLvl w:val="9"/>
        <w:rPr>
          <w:rFonts w:hint="eastAsia" w:ascii="仿宋" w:hAnsi="仿宋" w:eastAsia="仿宋" w:cs="仿宋"/>
          <w:b w:val="0"/>
          <w:bCs w:val="0"/>
          <w:sz w:val="32"/>
          <w:szCs w:val="32"/>
          <w:lang w:eastAsia="zh-CN"/>
        </w:rPr>
      </w:pPr>
      <w:r>
        <w:rPr>
          <w:rFonts w:hint="eastAsia" w:ascii="Times New Roman" w:hAnsi="Times New Roman" w:eastAsia="仿宋_GB2312" w:cs="Times New Roman"/>
          <w:kern w:val="2"/>
          <w:sz w:val="32"/>
          <w:szCs w:val="32"/>
        </w:rPr>
        <w:t>《伊川县行政审批中介服务管理暂行办法》已经县政府同意，现印发给你们，请认真遵照执行。</w:t>
      </w:r>
    </w:p>
    <w:p>
      <w:pPr>
        <w:pStyle w:val="13"/>
        <w:keepNext w:val="0"/>
        <w:keepLines w:val="0"/>
        <w:pageBreakBefore w:val="0"/>
        <w:widowControl w:val="0"/>
        <w:kinsoku/>
        <w:wordWrap/>
        <w:overflowPunct/>
        <w:topLinePunct w:val="0"/>
        <w:autoSpaceDE/>
        <w:autoSpaceDN/>
        <w:bidi w:val="0"/>
        <w:adjustRightInd/>
        <w:snapToGrid/>
        <w:spacing w:line="626" w:lineRule="exact"/>
        <w:ind w:left="433" w:leftChars="206" w:right="0" w:rightChars="0" w:firstLine="640" w:firstLineChars="200"/>
        <w:textAlignment w:val="auto"/>
        <w:outlineLvl w:val="9"/>
        <w:rPr>
          <w:rFonts w:hint="eastAsia" w:ascii="仿宋" w:hAnsi="仿宋" w:eastAsia="仿宋" w:cs="仿宋"/>
          <w:b w:val="0"/>
          <w:bCs w:val="0"/>
          <w:sz w:val="32"/>
          <w:szCs w:val="32"/>
          <w:lang w:eastAsia="zh-CN"/>
        </w:rPr>
      </w:pPr>
      <w:bookmarkStart w:id="0" w:name="_GoBack"/>
      <w:bookmarkEnd w:id="0"/>
    </w:p>
    <w:p>
      <w:pPr>
        <w:pStyle w:val="13"/>
        <w:keepNext w:val="0"/>
        <w:keepLines w:val="0"/>
        <w:pageBreakBefore w:val="0"/>
        <w:widowControl w:val="0"/>
        <w:kinsoku/>
        <w:wordWrap/>
        <w:overflowPunct/>
        <w:topLinePunct w:val="0"/>
        <w:autoSpaceDE/>
        <w:autoSpaceDN/>
        <w:bidi w:val="0"/>
        <w:adjustRightInd/>
        <w:snapToGrid/>
        <w:spacing w:line="626" w:lineRule="exact"/>
        <w:ind w:left="433" w:leftChars="206" w:right="0" w:rightChars="0" w:firstLine="640" w:firstLineChars="200"/>
        <w:textAlignment w:val="auto"/>
        <w:outlineLvl w:val="9"/>
        <w:rPr>
          <w:rFonts w:hint="eastAsia" w:ascii="仿宋" w:hAnsi="仿宋" w:eastAsia="仿宋" w:cs="仿宋"/>
          <w:b w:val="0"/>
          <w:bCs w:val="0"/>
          <w:sz w:val="32"/>
          <w:szCs w:val="32"/>
          <w:lang w:eastAsia="zh-CN"/>
        </w:rPr>
      </w:pPr>
    </w:p>
    <w:p>
      <w:pPr>
        <w:pStyle w:val="13"/>
        <w:keepNext w:val="0"/>
        <w:keepLines w:val="0"/>
        <w:pageBreakBefore w:val="0"/>
        <w:widowControl w:val="0"/>
        <w:kinsoku/>
        <w:wordWrap/>
        <w:overflowPunct/>
        <w:topLinePunct w:val="0"/>
        <w:autoSpaceDE/>
        <w:autoSpaceDN/>
        <w:bidi w:val="0"/>
        <w:adjustRightInd/>
        <w:snapToGrid/>
        <w:spacing w:line="626" w:lineRule="exact"/>
        <w:ind w:left="433" w:leftChars="206" w:right="0" w:rightChars="0" w:firstLine="640" w:firstLineChars="200"/>
        <w:textAlignment w:val="auto"/>
        <w:outlineLvl w:val="9"/>
        <w:rPr>
          <w:rFonts w:hint="eastAsia" w:ascii="仿宋" w:hAnsi="仿宋" w:eastAsia="仿宋" w:cs="仿宋"/>
          <w:b w:val="0"/>
          <w:bCs w:val="0"/>
          <w:sz w:val="32"/>
          <w:szCs w:val="32"/>
          <w:lang w:eastAsia="zh-CN"/>
        </w:rPr>
      </w:pPr>
    </w:p>
    <w:p>
      <w:pPr>
        <w:pStyle w:val="13"/>
        <w:keepNext w:val="0"/>
        <w:keepLines w:val="0"/>
        <w:pageBreakBefore w:val="0"/>
        <w:widowControl w:val="0"/>
        <w:kinsoku/>
        <w:wordWrap/>
        <w:overflowPunct/>
        <w:topLinePunct w:val="0"/>
        <w:autoSpaceDE/>
        <w:autoSpaceDN/>
        <w:bidi w:val="0"/>
        <w:adjustRightInd/>
        <w:snapToGrid/>
        <w:spacing w:line="520" w:lineRule="exact"/>
        <w:ind w:left="709" w:right="-57" w:rightChars="-27" w:firstLine="4547" w:firstLineChars="1421"/>
        <w:textAlignment w:val="auto"/>
        <w:rPr>
          <w:rFonts w:ascii="仿宋" w:hAnsi="仿宋" w:eastAsia="仿宋"/>
          <w:sz w:val="32"/>
          <w:szCs w:val="32"/>
        </w:rPr>
      </w:pPr>
      <w:r>
        <w:rPr>
          <w:rFonts w:hint="eastAsia" w:ascii="Times New Roman" w:hAnsi="Times New Roman" w:eastAsia="仿宋_GB2312" w:cs="Times New Roman"/>
          <w:kern w:val="2"/>
          <w:sz w:val="32"/>
          <w:szCs w:val="32"/>
        </w:rPr>
        <w:t>20</w:t>
      </w:r>
      <w:r>
        <w:rPr>
          <w:rFonts w:hint="eastAsia" w:ascii="Times New Roman" w:hAnsi="Times New Roman" w:eastAsia="仿宋_GB2312" w:cs="Times New Roman"/>
          <w:kern w:val="2"/>
          <w:sz w:val="32"/>
          <w:szCs w:val="32"/>
          <w:lang w:val="en-US" w:eastAsia="zh-CN"/>
        </w:rPr>
        <w:t>21</w:t>
      </w:r>
      <w:r>
        <w:rPr>
          <w:rFonts w:hint="eastAsia" w:ascii="Times New Roman" w:hAnsi="Times New Roman" w:eastAsia="仿宋_GB2312" w:cs="Times New Roman"/>
          <w:kern w:val="2"/>
          <w:sz w:val="32"/>
          <w:szCs w:val="32"/>
        </w:rPr>
        <w:t>年</w:t>
      </w:r>
      <w:r>
        <w:rPr>
          <w:rFonts w:hint="eastAsia" w:ascii="Times New Roman" w:hAnsi="Times New Roman" w:eastAsia="仿宋_GB2312" w:cs="Times New Roman"/>
          <w:kern w:val="2"/>
          <w:sz w:val="32"/>
          <w:szCs w:val="32"/>
          <w:lang w:val="en-US" w:eastAsia="zh-CN"/>
        </w:rPr>
        <w:t>11</w:t>
      </w:r>
      <w:r>
        <w:rPr>
          <w:rFonts w:hint="eastAsia" w:ascii="Times New Roman" w:hAnsi="Times New Roman" w:eastAsia="仿宋_GB2312" w:cs="Times New Roman"/>
          <w:kern w:val="2"/>
          <w:sz w:val="32"/>
          <w:szCs w:val="32"/>
        </w:rPr>
        <w:t>月</w:t>
      </w:r>
      <w:r>
        <w:rPr>
          <w:rFonts w:hint="eastAsia" w:ascii="Times New Roman" w:hAnsi="Times New Roman" w:eastAsia="仿宋_GB2312" w:cs="Times New Roman"/>
          <w:kern w:val="2"/>
          <w:sz w:val="32"/>
          <w:szCs w:val="32"/>
          <w:lang w:val="en-US" w:eastAsia="zh-CN"/>
        </w:rPr>
        <w:t>25</w:t>
      </w:r>
      <w:r>
        <w:rPr>
          <w:rFonts w:hint="eastAsia" w:ascii="Times New Roman" w:hAnsi="Times New Roman" w:eastAsia="仿宋_GB2312" w:cs="Times New Roman"/>
          <w:kern w:val="2"/>
          <w:sz w:val="32"/>
          <w:szCs w:val="32"/>
        </w:rPr>
        <w:t>日</w:t>
      </w:r>
      <w:r>
        <w:rPr>
          <w:rFonts w:hint="eastAsia" w:eastAsia="仿宋_GB2312"/>
          <w:color w:val="000000"/>
          <w:kern w:val="0"/>
          <w:sz w:val="32"/>
          <w:lang w:eastAsia="zh-CN"/>
        </w:rPr>
        <w:t>　</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520" w:lineRule="exact"/>
        <w:ind w:left="707" w:leftChars="0" w:right="-57" w:rightChars="-27"/>
        <w:textAlignment w:val="auto"/>
        <w:rPr>
          <w:rFonts w:ascii="仿宋" w:hAnsi="仿宋" w:eastAsia="仿宋"/>
          <w:sz w:val="32"/>
          <w:szCs w:val="32"/>
        </w:rPr>
      </w:pPr>
    </w:p>
    <w:p>
      <w:pPr>
        <w:pStyle w:val="13"/>
        <w:keepNext w:val="0"/>
        <w:keepLines w:val="0"/>
        <w:pageBreakBefore w:val="0"/>
        <w:widowControl w:val="0"/>
        <w:numPr>
          <w:ilvl w:val="0"/>
          <w:numId w:val="0"/>
        </w:numPr>
        <w:kinsoku/>
        <w:wordWrap/>
        <w:overflowPunct/>
        <w:topLinePunct w:val="0"/>
        <w:autoSpaceDE/>
        <w:autoSpaceDN/>
        <w:bidi w:val="0"/>
        <w:adjustRightInd/>
        <w:snapToGrid/>
        <w:spacing w:line="520" w:lineRule="exact"/>
        <w:ind w:left="707" w:leftChars="0" w:right="-57" w:rightChars="-27"/>
        <w:textAlignment w:val="auto"/>
        <w:rPr>
          <w:rFonts w:ascii="仿宋" w:hAnsi="仿宋" w:eastAsia="仿宋"/>
          <w:sz w:val="32"/>
          <w:szCs w:val="32"/>
        </w:rPr>
      </w:pPr>
    </w:p>
    <w:p>
      <w:pPr>
        <w:pStyle w:val="13"/>
        <w:ind w:left="1427" w:right="-57" w:rightChars="-27" w:firstLine="0" w:firstLineChars="0"/>
        <w:jc w:val="left"/>
        <w:rPr>
          <w:rFonts w:ascii="仿宋" w:hAnsi="仿宋" w:eastAsia="仿宋"/>
          <w:sz w:val="32"/>
          <w:szCs w:val="32"/>
        </w:rPr>
      </w:pPr>
    </w:p>
    <w:p>
      <w:pPr>
        <w:pStyle w:val="13"/>
        <w:ind w:left="1427" w:right="-57" w:rightChars="-27" w:firstLine="0" w:firstLineChars="0"/>
        <w:jc w:val="left"/>
        <w:rPr>
          <w:rFonts w:ascii="仿宋" w:hAnsi="仿宋" w:eastAsia="仿宋"/>
          <w:sz w:val="32"/>
          <w:szCs w:val="32"/>
        </w:rPr>
      </w:pPr>
    </w:p>
    <w:p>
      <w:pPr>
        <w:keepNext w:val="0"/>
        <w:keepLines w:val="0"/>
        <w:pageBreakBefore w:val="0"/>
        <w:widowControl w:val="0"/>
        <w:kinsoku/>
        <w:wordWrap/>
        <w:overflowPunct/>
        <w:topLinePunct w:val="0"/>
        <w:bidi w:val="0"/>
        <w:adjustRightInd/>
        <w:snapToGrid/>
        <w:jc w:val="center"/>
        <w:textAlignment w:val="auto"/>
        <w:rPr>
          <w:rFonts w:hint="eastAsia" w:ascii="宋体" w:hAnsi="宋体" w:eastAsia="宋体" w:cs="宋体"/>
          <w:sz w:val="44"/>
          <w:szCs w:val="44"/>
        </w:rPr>
      </w:pPr>
      <w:r>
        <w:rPr>
          <w:rFonts w:hint="eastAsia" w:ascii="宋体" w:hAnsi="宋体" w:eastAsia="宋体" w:cs="宋体"/>
          <w:sz w:val="44"/>
          <w:szCs w:val="44"/>
          <w:lang w:val="en-US" w:eastAsia="zh-CN"/>
        </w:rPr>
        <w:t>伊川县</w:t>
      </w:r>
      <w:r>
        <w:rPr>
          <w:rFonts w:hint="eastAsia" w:ascii="宋体" w:hAnsi="宋体" w:eastAsia="宋体" w:cs="宋体"/>
          <w:sz w:val="44"/>
          <w:szCs w:val="44"/>
        </w:rPr>
        <w:t>行政审批中介</w:t>
      </w:r>
      <w:r>
        <w:rPr>
          <w:rFonts w:hint="eastAsia" w:ascii="宋体" w:hAnsi="宋体" w:eastAsia="宋体" w:cs="宋体"/>
          <w:sz w:val="44"/>
          <w:szCs w:val="44"/>
          <w:lang w:val="en-US" w:eastAsia="zh-CN"/>
        </w:rPr>
        <w:t>服务</w:t>
      </w:r>
      <w:r>
        <w:rPr>
          <w:rFonts w:hint="eastAsia" w:ascii="宋体" w:hAnsi="宋体" w:eastAsia="宋体" w:cs="宋体"/>
          <w:sz w:val="44"/>
          <w:szCs w:val="44"/>
        </w:rPr>
        <w:t>管理</w:t>
      </w:r>
      <w:r>
        <w:rPr>
          <w:rFonts w:hint="eastAsia" w:ascii="宋体" w:hAnsi="宋体" w:eastAsia="宋体" w:cs="宋体"/>
          <w:sz w:val="44"/>
          <w:szCs w:val="44"/>
          <w:lang w:val="en-US" w:eastAsia="zh-CN"/>
        </w:rPr>
        <w:t>暂</w:t>
      </w:r>
      <w:r>
        <w:rPr>
          <w:rFonts w:hint="eastAsia" w:ascii="宋体" w:hAnsi="宋体" w:eastAsia="宋体" w:cs="宋体"/>
          <w:sz w:val="44"/>
          <w:szCs w:val="44"/>
        </w:rPr>
        <w:t>行办法</w:t>
      </w:r>
    </w:p>
    <w:p>
      <w:pPr>
        <w:pStyle w:val="3"/>
        <w:keepNext w:val="0"/>
        <w:keepLines w:val="0"/>
        <w:pageBreakBefore w:val="0"/>
        <w:widowControl w:val="0"/>
        <w:tabs>
          <w:tab w:val="left" w:pos="1278"/>
          <w:tab w:val="left" w:pos="1918"/>
        </w:tabs>
        <w:kinsoku/>
        <w:wordWrap/>
        <w:overflowPunct/>
        <w:topLinePunct w:val="0"/>
        <w:autoSpaceDE w:val="0"/>
        <w:autoSpaceDN w:val="0"/>
        <w:bidi w:val="0"/>
        <w:adjustRightInd/>
        <w:snapToGrid/>
        <w:spacing w:before="0" w:after="0" w:line="240" w:lineRule="auto"/>
        <w:ind w:left="0" w:leftChars="0" w:right="158" w:firstLine="640" w:firstLineChars="200"/>
        <w:jc w:val="both"/>
        <w:textAlignment w:val="auto"/>
        <w:rPr>
          <w:rFonts w:hint="eastAsia" w:ascii="黑体" w:eastAsia="黑体"/>
          <w:kern w:val="0"/>
        </w:rPr>
      </w:pPr>
    </w:p>
    <w:p>
      <w:pPr>
        <w:pStyle w:val="3"/>
        <w:keepNext w:val="0"/>
        <w:keepLines w:val="0"/>
        <w:pageBreakBefore w:val="0"/>
        <w:widowControl w:val="0"/>
        <w:numPr>
          <w:ilvl w:val="0"/>
          <w:numId w:val="1"/>
        </w:numPr>
        <w:tabs>
          <w:tab w:val="left" w:pos="1278"/>
          <w:tab w:val="left" w:pos="1918"/>
        </w:tabs>
        <w:kinsoku/>
        <w:wordWrap/>
        <w:overflowPunct/>
        <w:topLinePunct w:val="0"/>
        <w:autoSpaceDE w:val="0"/>
        <w:autoSpaceDN w:val="0"/>
        <w:bidi w:val="0"/>
        <w:adjustRightInd/>
        <w:snapToGrid/>
        <w:spacing w:before="0" w:after="0" w:line="560" w:lineRule="exact"/>
        <w:ind w:left="0" w:leftChars="0" w:right="158" w:firstLine="640" w:firstLineChars="200"/>
        <w:jc w:val="both"/>
        <w:textAlignment w:val="auto"/>
        <w:rPr>
          <w:rFonts w:hint="eastAsia" w:ascii="黑体" w:eastAsia="黑体"/>
          <w:kern w:val="0"/>
        </w:rPr>
      </w:pPr>
      <w:r>
        <w:rPr>
          <w:rFonts w:hint="eastAsia" w:ascii="黑体" w:eastAsia="黑体"/>
          <w:kern w:val="0"/>
        </w:rPr>
        <w:t>总则</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为了规范行政审批中介服务行为，进一步优化营商环境，保障各类市场主体的合法权益，根据有关法律、法规规定，结合本</w:t>
      </w:r>
      <w:r>
        <w:rPr>
          <w:rFonts w:hint="eastAsia" w:ascii="仿宋" w:hAnsi="仿宋" w:eastAsia="仿宋" w:cs="仿宋"/>
          <w:sz w:val="32"/>
          <w:szCs w:val="32"/>
          <w:lang w:val="en-US" w:eastAsia="zh-CN"/>
        </w:rPr>
        <w:t>县</w:t>
      </w:r>
      <w:r>
        <w:rPr>
          <w:rFonts w:hint="eastAsia" w:ascii="仿宋" w:hAnsi="仿宋" w:eastAsia="仿宋" w:cs="仿宋"/>
          <w:sz w:val="32"/>
          <w:szCs w:val="32"/>
        </w:rPr>
        <w:t>实际，制定本</w:t>
      </w:r>
      <w:r>
        <w:rPr>
          <w:rFonts w:hint="eastAsia" w:ascii="仿宋" w:hAnsi="仿宋" w:eastAsia="仿宋" w:cs="仿宋"/>
          <w:sz w:val="32"/>
          <w:szCs w:val="32"/>
          <w:lang w:val="en-US" w:eastAsia="zh-CN"/>
        </w:rPr>
        <w:t>办法</w:t>
      </w:r>
      <w:r>
        <w:rPr>
          <w:rFonts w:hint="eastAsia" w:ascii="仿宋" w:hAnsi="仿宋" w:eastAsia="仿宋" w:cs="仿宋"/>
          <w:sz w:val="32"/>
          <w:szCs w:val="32"/>
        </w:rPr>
        <w:t>。</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 本</w:t>
      </w:r>
      <w:r>
        <w:rPr>
          <w:rFonts w:hint="eastAsia" w:ascii="仿宋" w:hAnsi="仿宋" w:eastAsia="仿宋" w:cs="仿宋"/>
          <w:sz w:val="32"/>
          <w:szCs w:val="32"/>
          <w:lang w:val="en-US" w:eastAsia="zh-CN"/>
        </w:rPr>
        <w:t>办法</w:t>
      </w:r>
      <w:r>
        <w:rPr>
          <w:rFonts w:hint="eastAsia" w:ascii="仿宋" w:hAnsi="仿宋" w:eastAsia="仿宋" w:cs="仿宋"/>
          <w:sz w:val="32"/>
          <w:szCs w:val="32"/>
        </w:rPr>
        <w:t>所称行政审批中介服务(以下简称中介服务)是指企业、事业单位、社会组织等机构(以下简称中介服务机构)接受委托人委托开展的作为行政审批条件的有偿服务。</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中介服务包括各类技术审查、论证、评估、评价、检验、检测、鉴证、鉴定、证明、咨询、试验等。</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第三条 在本</w:t>
      </w:r>
      <w:r>
        <w:rPr>
          <w:rFonts w:hint="eastAsia" w:ascii="仿宋" w:hAnsi="仿宋" w:eastAsia="仿宋" w:cs="仿宋"/>
          <w:sz w:val="32"/>
          <w:szCs w:val="32"/>
          <w:lang w:val="en-US" w:eastAsia="zh-CN"/>
        </w:rPr>
        <w:t>县</w:t>
      </w:r>
      <w:r>
        <w:rPr>
          <w:rFonts w:hint="eastAsia" w:ascii="仿宋" w:hAnsi="仿宋" w:eastAsia="仿宋" w:cs="仿宋"/>
          <w:sz w:val="32"/>
          <w:szCs w:val="32"/>
        </w:rPr>
        <w:t>行政区域内，从事中介服务以及对中介服务实施监督管理，适用本</w:t>
      </w:r>
      <w:r>
        <w:rPr>
          <w:rFonts w:hint="eastAsia" w:ascii="仿宋" w:hAnsi="仿宋" w:eastAsia="仿宋" w:cs="仿宋"/>
          <w:sz w:val="32"/>
          <w:szCs w:val="32"/>
          <w:lang w:val="en-US" w:eastAsia="zh-CN"/>
        </w:rPr>
        <w:t>办法</w:t>
      </w:r>
      <w:r>
        <w:rPr>
          <w:rFonts w:hint="eastAsia" w:ascii="仿宋" w:hAnsi="仿宋" w:eastAsia="仿宋" w:cs="仿宋"/>
          <w:sz w:val="32"/>
          <w:szCs w:val="32"/>
        </w:rPr>
        <w:t>。</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第二章 监督管理</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四</w:t>
      </w:r>
      <w:r>
        <w:rPr>
          <w:rFonts w:hint="eastAsia" w:ascii="仿宋" w:hAnsi="仿宋" w:eastAsia="仿宋" w:cs="仿宋"/>
          <w:sz w:val="32"/>
          <w:szCs w:val="32"/>
        </w:rPr>
        <w:t>条 除法律、法规、国务院决定、规章规定的中介服务事项外，行政审批部门不得以任何形式要求申请人委托中介服务机构开展服务，提供相关中介服务材料。</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除法律、法规、国务院决定明确规定的资质资格许可外，行政审批部门不得设定中介服务机构资质资格审批</w:t>
      </w:r>
      <w:r>
        <w:rPr>
          <w:rFonts w:hint="eastAsia" w:ascii="仿宋" w:hAnsi="仿宋" w:eastAsia="仿宋" w:cs="仿宋"/>
          <w:sz w:val="32"/>
          <w:szCs w:val="32"/>
          <w:lang w:eastAsia="zh-CN"/>
        </w:rPr>
        <w:t>；</w:t>
      </w:r>
      <w:r>
        <w:rPr>
          <w:rFonts w:hint="eastAsia" w:ascii="仿宋" w:hAnsi="仿宋" w:eastAsia="仿宋" w:cs="仿宋"/>
          <w:sz w:val="32"/>
          <w:szCs w:val="32"/>
        </w:rPr>
        <w:t>不得设定区域性、行业性、部门间中介服务机构执业限制</w:t>
      </w:r>
      <w:r>
        <w:rPr>
          <w:rFonts w:hint="eastAsia" w:ascii="仿宋" w:hAnsi="仿宋" w:eastAsia="仿宋" w:cs="仿宋"/>
          <w:sz w:val="32"/>
          <w:szCs w:val="32"/>
          <w:lang w:eastAsia="zh-CN"/>
        </w:rPr>
        <w:t>；</w:t>
      </w:r>
      <w:r>
        <w:rPr>
          <w:rFonts w:hint="eastAsia" w:ascii="仿宋" w:hAnsi="仿宋" w:eastAsia="仿宋" w:cs="仿宋"/>
          <w:sz w:val="32"/>
          <w:szCs w:val="32"/>
        </w:rPr>
        <w:t>不得通过限额管理控制中介服务机构数量、服务范围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每个行业应至少存在三家以上中介服务机构，以形成统一开放、竞争有序、便捷高效的中介服务市场。</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color w:val="auto"/>
          <w:sz w:val="32"/>
          <w:szCs w:val="32"/>
        </w:rPr>
        <w:t>第</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县人民政府组织编制并</w:t>
      </w:r>
      <w:r>
        <w:rPr>
          <w:rFonts w:hint="eastAsia" w:ascii="仿宋" w:hAnsi="仿宋" w:eastAsia="仿宋" w:cs="仿宋"/>
          <w:sz w:val="32"/>
          <w:szCs w:val="32"/>
        </w:rPr>
        <w:t>依法向社会公布全</w:t>
      </w:r>
      <w:r>
        <w:rPr>
          <w:rFonts w:hint="eastAsia" w:ascii="仿宋" w:hAnsi="仿宋" w:eastAsia="仿宋" w:cs="仿宋"/>
          <w:sz w:val="32"/>
          <w:szCs w:val="32"/>
          <w:lang w:val="en-US" w:eastAsia="zh-CN"/>
        </w:rPr>
        <w:t>县</w:t>
      </w:r>
      <w:r>
        <w:rPr>
          <w:rFonts w:hint="eastAsia" w:ascii="仿宋" w:hAnsi="仿宋" w:eastAsia="仿宋" w:cs="仿宋"/>
          <w:sz w:val="32"/>
          <w:szCs w:val="32"/>
        </w:rPr>
        <w:t>统一的中介服务事项清单，</w:t>
      </w:r>
      <w:r>
        <w:rPr>
          <w:rFonts w:hint="eastAsia" w:ascii="仿宋" w:hAnsi="仿宋" w:eastAsia="仿宋" w:cs="仿宋"/>
          <w:color w:val="auto"/>
          <w:sz w:val="32"/>
          <w:szCs w:val="32"/>
          <w:lang w:val="en-US" w:eastAsia="zh-CN"/>
        </w:rPr>
        <w:t>并对</w:t>
      </w:r>
      <w:r>
        <w:rPr>
          <w:rFonts w:hint="eastAsia" w:ascii="仿宋" w:hAnsi="仿宋" w:eastAsia="仿宋" w:cs="仿宋"/>
          <w:color w:val="auto"/>
          <w:sz w:val="32"/>
          <w:szCs w:val="32"/>
        </w:rPr>
        <w:t>中介服务事项清单</w:t>
      </w:r>
      <w:r>
        <w:rPr>
          <w:rFonts w:hint="eastAsia" w:ascii="仿宋" w:hAnsi="仿宋" w:eastAsia="仿宋" w:cs="仿宋"/>
          <w:color w:val="auto"/>
          <w:sz w:val="32"/>
          <w:szCs w:val="32"/>
          <w:lang w:val="en-US" w:eastAsia="zh-CN"/>
        </w:rPr>
        <w:t>实行动态管理。</w:t>
      </w:r>
      <w:r>
        <w:rPr>
          <w:rFonts w:hint="eastAsia" w:ascii="仿宋" w:hAnsi="仿宋" w:eastAsia="仿宋" w:cs="仿宋"/>
          <w:sz w:val="32"/>
          <w:szCs w:val="32"/>
        </w:rPr>
        <w:t>未纳入中介服务事项清单的中介服务事项，不得作为行政审批条件。</w:t>
      </w:r>
    </w:p>
    <w:p>
      <w:pPr>
        <w:keepNext w:val="0"/>
        <w:keepLines w:val="0"/>
        <w:pageBreakBefore w:val="0"/>
        <w:widowControl w:val="0"/>
        <w:numPr>
          <w:ilvl w:val="0"/>
          <w:numId w:val="0"/>
        </w:numPr>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第六条 行政审批部门应向社会公布一定范围、一定数量的中介机构信息供申请人自由选择，并定期根据中介机构评估结果对信息进行更新。</w:t>
      </w:r>
    </w:p>
    <w:p>
      <w:pPr>
        <w:keepNext w:val="0"/>
        <w:keepLines w:val="0"/>
        <w:pageBreakBefore w:val="0"/>
        <w:widowControl w:val="0"/>
        <w:numPr>
          <w:ilvl w:val="0"/>
          <w:numId w:val="0"/>
        </w:numPr>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第七条 申请人可以根据实际情况自行选择有资质的中介机构办理业务，行政审批部门不得以任何形式要求申请人到指定的中介机构开展服务。</w:t>
      </w:r>
    </w:p>
    <w:p>
      <w:pPr>
        <w:keepNext w:val="0"/>
        <w:keepLines w:val="0"/>
        <w:pageBreakBefore w:val="0"/>
        <w:widowControl w:val="0"/>
        <w:numPr>
          <w:ilvl w:val="0"/>
          <w:numId w:val="0"/>
        </w:numPr>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第八条 行政审批部门</w:t>
      </w:r>
      <w:r>
        <w:rPr>
          <w:rFonts w:hint="eastAsia" w:ascii="仿宋" w:hAnsi="仿宋" w:eastAsia="仿宋" w:cs="仿宋"/>
          <w:color w:val="auto"/>
          <w:sz w:val="32"/>
          <w:szCs w:val="32"/>
          <w:lang w:val="en-US" w:eastAsia="zh-CN"/>
        </w:rPr>
        <w:t>应在实体政务服务大厅、网上政务服务平台、审批股室办公场所，为申请人提供明确的</w:t>
      </w:r>
      <w:r>
        <w:rPr>
          <w:rFonts w:hint="eastAsia" w:ascii="仿宋" w:hAnsi="仿宋" w:eastAsia="仿宋" w:cs="仿宋"/>
          <w:sz w:val="32"/>
          <w:szCs w:val="32"/>
          <w:lang w:val="en-US" w:eastAsia="zh-CN"/>
        </w:rPr>
        <w:t>事项审批流程、材料清单及各种需提供材料的规范样本供申请人参考。</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九</w:t>
      </w:r>
      <w:r>
        <w:rPr>
          <w:rFonts w:hint="eastAsia" w:ascii="仿宋" w:hAnsi="仿宋" w:eastAsia="仿宋" w:cs="仿宋"/>
          <w:sz w:val="32"/>
          <w:szCs w:val="32"/>
        </w:rPr>
        <w:t>条 行业主管部门应当按照谁审批、谁监管，谁主管、谁监管的原则，对中介服务机构实施监督。</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实行资质资格许可准入管理的中介服务机构，相关资质资格许可实施管理部门为行业主管部门</w:t>
      </w:r>
      <w:r>
        <w:rPr>
          <w:rFonts w:hint="eastAsia" w:ascii="仿宋" w:hAnsi="仿宋" w:eastAsia="仿宋" w:cs="仿宋"/>
          <w:sz w:val="32"/>
          <w:szCs w:val="32"/>
          <w:lang w:eastAsia="zh-CN"/>
        </w:rPr>
        <w:t>；</w:t>
      </w:r>
      <w:r>
        <w:rPr>
          <w:rFonts w:hint="eastAsia" w:ascii="仿宋" w:hAnsi="仿宋" w:eastAsia="仿宋" w:cs="仿宋"/>
          <w:sz w:val="32"/>
          <w:szCs w:val="32"/>
        </w:rPr>
        <w:t>取消资质资格许可准入管理的中介服务机构，原相关资质资格许可实施管理部门为行业主管部门</w:t>
      </w:r>
      <w:r>
        <w:rPr>
          <w:rFonts w:hint="eastAsia" w:ascii="仿宋" w:hAnsi="仿宋" w:eastAsia="仿宋" w:cs="仿宋"/>
          <w:sz w:val="32"/>
          <w:szCs w:val="32"/>
          <w:lang w:eastAsia="zh-CN"/>
        </w:rPr>
        <w:t>；</w:t>
      </w:r>
      <w:r>
        <w:rPr>
          <w:rFonts w:hint="eastAsia" w:ascii="仿宋" w:hAnsi="仿宋" w:eastAsia="仿宋" w:cs="仿宋"/>
          <w:sz w:val="32"/>
          <w:szCs w:val="32"/>
        </w:rPr>
        <w:t>其他的中介服务机构，对应的行政审批事项实施管理部门为行业主管部门。</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第十条 </w:t>
      </w:r>
      <w:r>
        <w:rPr>
          <w:rFonts w:hint="eastAsia" w:ascii="仿宋" w:hAnsi="仿宋" w:eastAsia="仿宋" w:cs="仿宋"/>
          <w:sz w:val="32"/>
          <w:szCs w:val="32"/>
          <w:lang w:val="en-US" w:eastAsia="zh-CN"/>
        </w:rPr>
        <w:t>县</w:t>
      </w:r>
      <w:r>
        <w:rPr>
          <w:rFonts w:hint="eastAsia" w:ascii="仿宋" w:hAnsi="仿宋" w:eastAsia="仿宋" w:cs="仿宋"/>
          <w:sz w:val="32"/>
          <w:szCs w:val="32"/>
        </w:rPr>
        <w:t>行业主管部门应当制定和完善中介服务规范和标准，明确办理时限、工作流程、申报条件、收费标准等，指导督促中介服务机构建立服务承诺、限时办理、执业公示、执业记录等制度。</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eastAsia="zh-CN"/>
        </w:rPr>
        <w:t>一</w:t>
      </w:r>
      <w:r>
        <w:rPr>
          <w:rFonts w:hint="eastAsia" w:ascii="仿宋" w:hAnsi="仿宋" w:eastAsia="仿宋" w:cs="仿宋"/>
          <w:sz w:val="32"/>
          <w:szCs w:val="32"/>
        </w:rPr>
        <w:t xml:space="preserve">条 </w:t>
      </w:r>
      <w:r>
        <w:rPr>
          <w:rFonts w:hint="eastAsia" w:ascii="仿宋" w:hAnsi="仿宋" w:eastAsia="仿宋" w:cs="仿宋"/>
          <w:sz w:val="32"/>
          <w:szCs w:val="32"/>
          <w:lang w:val="en-US" w:eastAsia="zh-CN"/>
        </w:rPr>
        <w:t>县</w:t>
      </w:r>
      <w:r>
        <w:rPr>
          <w:rFonts w:hint="eastAsia" w:ascii="仿宋" w:hAnsi="仿宋" w:eastAsia="仿宋" w:cs="仿宋"/>
          <w:sz w:val="32"/>
          <w:szCs w:val="32"/>
        </w:rPr>
        <w:t>行业主管部门应当会同行政审批部门</w:t>
      </w:r>
      <w:r>
        <w:rPr>
          <w:rFonts w:hint="eastAsia" w:ascii="仿宋" w:hAnsi="仿宋" w:eastAsia="仿宋" w:cs="仿宋"/>
          <w:color w:val="auto"/>
          <w:sz w:val="32"/>
          <w:szCs w:val="32"/>
          <w:lang w:eastAsia="zh-CN"/>
        </w:rPr>
        <w:t>建立</w:t>
      </w:r>
      <w:r>
        <w:rPr>
          <w:rFonts w:hint="eastAsia" w:ascii="仿宋" w:hAnsi="仿宋" w:eastAsia="仿宋" w:cs="仿宋"/>
          <w:sz w:val="32"/>
          <w:szCs w:val="32"/>
        </w:rPr>
        <w:t>中介服务随机抽查</w:t>
      </w:r>
      <w:r>
        <w:rPr>
          <w:rFonts w:hint="eastAsia" w:ascii="仿宋" w:hAnsi="仿宋" w:eastAsia="仿宋" w:cs="仿宋"/>
          <w:color w:val="auto"/>
          <w:sz w:val="32"/>
          <w:szCs w:val="32"/>
          <w:lang w:eastAsia="zh-CN"/>
        </w:rPr>
        <w:t>工作制度</w:t>
      </w:r>
      <w:r>
        <w:rPr>
          <w:rFonts w:hint="eastAsia" w:ascii="仿宋" w:hAnsi="仿宋" w:eastAsia="仿宋" w:cs="仿宋"/>
          <w:sz w:val="32"/>
          <w:szCs w:val="32"/>
        </w:rPr>
        <w:t>，按照"双随机、一公开"的要求，定期组织对中介服务机构执行中介服务规范和标准等情况进行随机抽查。</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对未按照中介服务规范和标准提供中介服务的中介服务机构，视情节</w:t>
      </w:r>
      <w:r>
        <w:rPr>
          <w:rFonts w:hint="eastAsia" w:ascii="仿宋" w:hAnsi="仿宋" w:eastAsia="仿宋" w:cs="仿宋"/>
          <w:color w:val="auto"/>
          <w:sz w:val="32"/>
          <w:szCs w:val="32"/>
          <w:lang w:eastAsia="zh-CN"/>
        </w:rPr>
        <w:t>依法依规</w:t>
      </w:r>
      <w:r>
        <w:rPr>
          <w:rFonts w:hint="eastAsia" w:ascii="仿宋" w:hAnsi="仿宋" w:eastAsia="仿宋" w:cs="仿宋"/>
          <w:sz w:val="32"/>
          <w:szCs w:val="32"/>
        </w:rPr>
        <w:t>列入失信中介服务机构管理名单，依法处理相关中介服务机构法定代表人和从业人员，并通过</w:t>
      </w:r>
      <w:r>
        <w:rPr>
          <w:rFonts w:hint="eastAsia" w:ascii="仿宋" w:hAnsi="仿宋" w:eastAsia="仿宋" w:cs="仿宋"/>
          <w:color w:val="auto"/>
          <w:sz w:val="32"/>
          <w:szCs w:val="32"/>
          <w:lang w:eastAsia="zh-CN"/>
        </w:rPr>
        <w:t>县政府门户网站</w:t>
      </w:r>
      <w:r>
        <w:rPr>
          <w:rFonts w:hint="eastAsia" w:ascii="仿宋" w:hAnsi="仿宋" w:eastAsia="仿宋" w:cs="仿宋"/>
          <w:sz w:val="32"/>
          <w:szCs w:val="32"/>
        </w:rPr>
        <w:t>向社会公示。</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eastAsia="zh-CN"/>
        </w:rPr>
        <w:t>二</w:t>
      </w:r>
      <w:r>
        <w:rPr>
          <w:rFonts w:hint="eastAsia" w:ascii="仿宋" w:hAnsi="仿宋" w:eastAsia="仿宋" w:cs="仿宋"/>
          <w:sz w:val="32"/>
          <w:szCs w:val="32"/>
        </w:rPr>
        <w:t xml:space="preserve">条 </w:t>
      </w:r>
      <w:r>
        <w:rPr>
          <w:rFonts w:hint="eastAsia" w:ascii="仿宋" w:hAnsi="仿宋" w:eastAsia="仿宋" w:cs="仿宋"/>
          <w:sz w:val="32"/>
          <w:szCs w:val="32"/>
          <w:lang w:val="en-US" w:eastAsia="zh-CN"/>
        </w:rPr>
        <w:t>县</w:t>
      </w:r>
      <w:r>
        <w:rPr>
          <w:rFonts w:hint="eastAsia" w:ascii="仿宋" w:hAnsi="仿宋" w:eastAsia="仿宋" w:cs="仿宋"/>
          <w:sz w:val="32"/>
          <w:szCs w:val="32"/>
        </w:rPr>
        <w:t>行业主管部门应当制定反垄断和反不正当竞争的措施，扶持和培育中介服务机构健康发展，鼓励</w:t>
      </w:r>
      <w:r>
        <w:rPr>
          <w:rFonts w:hint="eastAsia" w:ascii="仿宋" w:hAnsi="仿宋" w:eastAsia="仿宋" w:cs="仿宋"/>
          <w:sz w:val="32"/>
          <w:szCs w:val="32"/>
          <w:lang w:val="en-US" w:eastAsia="zh-CN"/>
        </w:rPr>
        <w:t>县</w:t>
      </w:r>
      <w:r>
        <w:rPr>
          <w:rFonts w:hint="eastAsia" w:ascii="仿宋" w:hAnsi="仿宋" w:eastAsia="仿宋" w:cs="仿宋"/>
          <w:sz w:val="32"/>
          <w:szCs w:val="32"/>
        </w:rPr>
        <w:t>外中介服务机构参与本</w:t>
      </w:r>
      <w:r>
        <w:rPr>
          <w:rFonts w:hint="eastAsia" w:ascii="仿宋" w:hAnsi="仿宋" w:eastAsia="仿宋" w:cs="仿宋"/>
          <w:sz w:val="32"/>
          <w:szCs w:val="32"/>
          <w:lang w:val="en-US" w:eastAsia="zh-CN"/>
        </w:rPr>
        <w:t>县</w:t>
      </w:r>
      <w:r>
        <w:rPr>
          <w:rFonts w:hint="eastAsia" w:ascii="仿宋" w:hAnsi="仿宋" w:eastAsia="仿宋" w:cs="仿宋"/>
          <w:sz w:val="32"/>
          <w:szCs w:val="32"/>
        </w:rPr>
        <w:t>中介服务。</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eastAsia="zh-CN"/>
        </w:rPr>
        <w:t>三</w:t>
      </w:r>
      <w:r>
        <w:rPr>
          <w:rFonts w:hint="eastAsia" w:ascii="仿宋" w:hAnsi="仿宋" w:eastAsia="仿宋" w:cs="仿宋"/>
          <w:sz w:val="32"/>
          <w:szCs w:val="32"/>
        </w:rPr>
        <w:t>条 禁止行政审批部门实施下列行为:</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(一)将现有或者已经取消的行政审批事项，转为委托中介服务形式开展;</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(二)将申请人可以自行完成的事项强制限定为中介服务机构提供;</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(三)将一项中介服务事项拆分为多个环节;</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(四)法律、行政法规和国务院决定规定的其他禁止性行为。</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color w:val="auto"/>
          <w:sz w:val="32"/>
          <w:szCs w:val="32"/>
        </w:rPr>
        <w:t>第十</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条</w:t>
      </w:r>
      <w:r>
        <w:rPr>
          <w:rFonts w:hint="eastAsia" w:ascii="仿宋" w:hAnsi="仿宋" w:eastAsia="仿宋" w:cs="仿宋"/>
          <w:sz w:val="32"/>
          <w:szCs w:val="32"/>
        </w:rPr>
        <w:t xml:space="preserve"> 行政审批部门、行业主管部门</w:t>
      </w:r>
      <w:r>
        <w:rPr>
          <w:rFonts w:hint="eastAsia" w:ascii="仿宋" w:hAnsi="仿宋" w:eastAsia="仿宋" w:cs="仿宋"/>
          <w:sz w:val="32"/>
          <w:szCs w:val="32"/>
          <w:lang w:val="en-US" w:eastAsia="zh-CN"/>
        </w:rPr>
        <w:t>应接受县人民政府</w:t>
      </w:r>
      <w:r>
        <w:rPr>
          <w:rFonts w:hint="eastAsia" w:ascii="仿宋" w:hAnsi="仿宋" w:eastAsia="仿宋" w:cs="仿宋"/>
          <w:sz w:val="32"/>
          <w:szCs w:val="32"/>
        </w:rPr>
        <w:t>的监督，</w:t>
      </w:r>
      <w:r>
        <w:rPr>
          <w:rFonts w:hint="eastAsia" w:ascii="仿宋" w:hAnsi="仿宋" w:eastAsia="仿宋" w:cs="仿宋"/>
          <w:sz w:val="32"/>
          <w:szCs w:val="32"/>
          <w:lang w:val="en-US" w:eastAsia="zh-CN"/>
        </w:rPr>
        <w:t>对本部门、行业主管部门相关的</w:t>
      </w:r>
      <w:r>
        <w:rPr>
          <w:rFonts w:hint="eastAsia" w:ascii="仿宋" w:hAnsi="仿宋" w:eastAsia="仿宋" w:cs="仿宋"/>
          <w:sz w:val="32"/>
          <w:szCs w:val="32"/>
        </w:rPr>
        <w:t>中介服务机构或者申请人的投诉和举报</w:t>
      </w:r>
      <w:r>
        <w:rPr>
          <w:rFonts w:hint="eastAsia" w:ascii="仿宋" w:hAnsi="仿宋" w:eastAsia="仿宋" w:cs="仿宋"/>
          <w:sz w:val="32"/>
          <w:szCs w:val="32"/>
          <w:lang w:val="en-US" w:eastAsia="zh-CN"/>
        </w:rPr>
        <w:t>情况</w:t>
      </w:r>
      <w:r>
        <w:rPr>
          <w:rFonts w:hint="eastAsia" w:ascii="仿宋" w:hAnsi="仿宋" w:eastAsia="仿宋" w:cs="仿宋"/>
          <w:sz w:val="32"/>
          <w:szCs w:val="32"/>
        </w:rPr>
        <w:t>，</w:t>
      </w:r>
      <w:r>
        <w:rPr>
          <w:rFonts w:hint="eastAsia" w:ascii="仿宋" w:hAnsi="仿宋" w:eastAsia="仿宋" w:cs="仿宋"/>
          <w:sz w:val="32"/>
          <w:szCs w:val="32"/>
          <w:lang w:val="en-US" w:eastAsia="zh-CN"/>
        </w:rPr>
        <w:t>应按照县人民政府反馈的</w:t>
      </w:r>
      <w:r>
        <w:rPr>
          <w:rFonts w:hint="eastAsia" w:ascii="仿宋" w:hAnsi="仿宋" w:eastAsia="仿宋" w:cs="仿宋"/>
          <w:sz w:val="32"/>
          <w:szCs w:val="32"/>
        </w:rPr>
        <w:t>查处结果</w:t>
      </w:r>
      <w:r>
        <w:rPr>
          <w:rFonts w:hint="eastAsia" w:ascii="仿宋" w:hAnsi="仿宋" w:eastAsia="仿宋" w:cs="仿宋"/>
          <w:sz w:val="32"/>
          <w:szCs w:val="32"/>
          <w:lang w:val="en-US" w:eastAsia="zh-CN"/>
        </w:rPr>
        <w:t>认真查找问题根源，在限期内整改到位</w:t>
      </w:r>
      <w:r>
        <w:rPr>
          <w:rFonts w:hint="eastAsia" w:ascii="仿宋" w:hAnsi="仿宋" w:eastAsia="仿宋" w:cs="仿宋"/>
          <w:sz w:val="32"/>
          <w:szCs w:val="32"/>
        </w:rPr>
        <w:t>。</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eastAsia="zh-CN"/>
        </w:rPr>
        <w:t>五</w:t>
      </w:r>
      <w:r>
        <w:rPr>
          <w:rFonts w:hint="eastAsia" w:ascii="仿宋" w:hAnsi="仿宋" w:eastAsia="仿宋" w:cs="仿宋"/>
          <w:sz w:val="32"/>
          <w:szCs w:val="32"/>
        </w:rPr>
        <w:t xml:space="preserve">条 </w:t>
      </w:r>
      <w:r>
        <w:rPr>
          <w:rFonts w:hint="eastAsia" w:ascii="仿宋" w:hAnsi="仿宋" w:eastAsia="仿宋" w:cs="仿宋"/>
          <w:sz w:val="32"/>
          <w:szCs w:val="32"/>
          <w:lang w:val="en-US" w:eastAsia="zh-CN"/>
        </w:rPr>
        <w:t>县</w:t>
      </w:r>
      <w:r>
        <w:rPr>
          <w:rFonts w:hint="eastAsia" w:ascii="仿宋" w:hAnsi="仿宋" w:eastAsia="仿宋" w:cs="仿宋"/>
          <w:sz w:val="32"/>
          <w:szCs w:val="32"/>
        </w:rPr>
        <w:t>价格行政主管部门应当制定中介服务收费监督管理办法，实施对中介服务收费监督检查工作。</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除政府定价管理的中介服务外，实行市场调节价格。</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价格行政主管部门应当建立价格监测制度，对实行市场调节价的中介服务收费标准出现恶意上涨或者下降时，应当开展成本调查，并采取函告、约谈、公告等方式，提醒告诫中介服务机构应当履行的价格义务和可能承担的法律责任。</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eastAsia="zh-CN"/>
        </w:rPr>
        <w:t>六</w:t>
      </w:r>
      <w:r>
        <w:rPr>
          <w:rFonts w:hint="eastAsia" w:ascii="仿宋" w:hAnsi="仿宋" w:eastAsia="仿宋" w:cs="仿宋"/>
          <w:sz w:val="32"/>
          <w:szCs w:val="32"/>
        </w:rPr>
        <w:t xml:space="preserve">条 </w:t>
      </w:r>
      <w:r>
        <w:rPr>
          <w:rFonts w:hint="eastAsia" w:ascii="仿宋" w:hAnsi="仿宋" w:eastAsia="仿宋" w:cs="仿宋"/>
          <w:i w:val="0"/>
          <w:iCs w:val="0"/>
          <w:strike w:val="0"/>
          <w:dstrike w:val="0"/>
          <w:color w:val="auto"/>
          <w:sz w:val="32"/>
          <w:szCs w:val="32"/>
          <w:u w:val="none"/>
          <w:lang w:val="en-US" w:eastAsia="zh-CN"/>
        </w:rPr>
        <w:t>县政务服务部门</w:t>
      </w:r>
      <w:r>
        <w:rPr>
          <w:rFonts w:hint="eastAsia" w:ascii="仿宋" w:hAnsi="仿宋" w:eastAsia="仿宋" w:cs="仿宋"/>
          <w:sz w:val="32"/>
          <w:szCs w:val="32"/>
          <w:lang w:val="en-US" w:eastAsia="zh-CN"/>
        </w:rPr>
        <w:t>负责建立</w:t>
      </w:r>
      <w:r>
        <w:rPr>
          <w:rFonts w:hint="eastAsia" w:ascii="仿宋" w:hAnsi="仿宋" w:eastAsia="仿宋" w:cs="仿宋"/>
          <w:sz w:val="32"/>
          <w:szCs w:val="32"/>
        </w:rPr>
        <w:t>全</w:t>
      </w:r>
      <w:r>
        <w:rPr>
          <w:rFonts w:hint="eastAsia" w:ascii="仿宋" w:hAnsi="仿宋" w:eastAsia="仿宋" w:cs="仿宋"/>
          <w:sz w:val="32"/>
          <w:szCs w:val="32"/>
          <w:lang w:val="en-US" w:eastAsia="zh-CN"/>
        </w:rPr>
        <w:t>县</w:t>
      </w:r>
      <w:r>
        <w:rPr>
          <w:rFonts w:hint="eastAsia" w:ascii="仿宋" w:hAnsi="仿宋" w:eastAsia="仿宋" w:cs="仿宋"/>
          <w:sz w:val="32"/>
          <w:szCs w:val="32"/>
        </w:rPr>
        <w:t>统一的中介服务信息管理平台，建立全</w:t>
      </w:r>
      <w:r>
        <w:rPr>
          <w:rFonts w:hint="eastAsia" w:ascii="仿宋" w:hAnsi="仿宋" w:eastAsia="仿宋" w:cs="仿宋"/>
          <w:sz w:val="32"/>
          <w:szCs w:val="32"/>
          <w:lang w:val="en-US" w:eastAsia="zh-CN"/>
        </w:rPr>
        <w:t>县</w:t>
      </w:r>
      <w:r>
        <w:rPr>
          <w:rFonts w:hint="eastAsia" w:ascii="仿宋" w:hAnsi="仿宋" w:eastAsia="仿宋" w:cs="仿宋"/>
          <w:sz w:val="32"/>
          <w:szCs w:val="32"/>
        </w:rPr>
        <w:t>中介服务机构名录库，公布中介服务事项清单、中介服务规范标准和中介服务机构信用信息，做好平台的管理和维护工作。公示内容应当动态管理，保证及时、准确、完整。</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前款规定的中介服务机构信用信息包括中介服务机构登记、许可、备案、行政处罚、年度报告、抽查结果、经营异常、违法失信等内容。</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行政审批部门、行业主管部门</w:t>
      </w:r>
      <w:r>
        <w:rPr>
          <w:rFonts w:hint="eastAsia" w:ascii="仿宋" w:hAnsi="仿宋" w:eastAsia="仿宋" w:cs="仿宋"/>
          <w:sz w:val="32"/>
          <w:szCs w:val="32"/>
          <w:lang w:eastAsia="zh-CN"/>
        </w:rPr>
        <w:t>、</w:t>
      </w:r>
      <w:r>
        <w:rPr>
          <w:rFonts w:hint="eastAsia" w:ascii="仿宋" w:hAnsi="仿宋" w:eastAsia="仿宋" w:cs="仿宋"/>
          <w:sz w:val="32"/>
          <w:szCs w:val="32"/>
        </w:rPr>
        <w:t>市场监督管理部门和其他职能部门应当按照职责分工，配合</w:t>
      </w:r>
      <w:r>
        <w:rPr>
          <w:rFonts w:hint="eastAsia" w:ascii="仿宋" w:hAnsi="仿宋" w:eastAsia="仿宋" w:cs="仿宋"/>
          <w:sz w:val="32"/>
          <w:szCs w:val="32"/>
          <w:lang w:val="en-US" w:eastAsia="zh-CN"/>
        </w:rPr>
        <w:t>政务服务</w:t>
      </w:r>
      <w:r>
        <w:rPr>
          <w:rFonts w:hint="eastAsia" w:ascii="仿宋" w:hAnsi="仿宋" w:eastAsia="仿宋" w:cs="仿宋"/>
          <w:sz w:val="32"/>
          <w:szCs w:val="32"/>
        </w:rPr>
        <w:t>部门做好本条第一款规定的中介服务信息管理平台相关内容的制定、归集、管理和维护工作。</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eastAsia="zh-CN"/>
        </w:rPr>
        <w:t>七</w:t>
      </w:r>
      <w:r>
        <w:rPr>
          <w:rFonts w:hint="eastAsia" w:ascii="仿宋" w:hAnsi="仿宋" w:eastAsia="仿宋" w:cs="仿宋"/>
          <w:sz w:val="32"/>
          <w:szCs w:val="32"/>
        </w:rPr>
        <w:t>条 市场监督管理部门应当定期将中介服务市场发展、规范管理等相关情况报送</w:t>
      </w:r>
      <w:r>
        <w:rPr>
          <w:rFonts w:hint="eastAsia" w:ascii="仿宋" w:hAnsi="仿宋" w:eastAsia="仿宋" w:cs="仿宋"/>
          <w:sz w:val="32"/>
          <w:szCs w:val="32"/>
          <w:lang w:val="en-US" w:eastAsia="zh-CN"/>
        </w:rPr>
        <w:t>县</w:t>
      </w:r>
      <w:r>
        <w:rPr>
          <w:rFonts w:hint="eastAsia" w:ascii="仿宋" w:hAnsi="仿宋" w:eastAsia="仿宋" w:cs="仿宋"/>
          <w:sz w:val="32"/>
          <w:szCs w:val="32"/>
        </w:rPr>
        <w:t>人民政府。</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行政审批部门、行业主管部门和有关职能部门应当配合市场监督管理部门工作，报送相关情况。</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第三章 行业引导和中介服务机构自律</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十八</w:t>
      </w:r>
      <w:r>
        <w:rPr>
          <w:rFonts w:hint="eastAsia" w:ascii="仿宋" w:hAnsi="仿宋" w:eastAsia="仿宋" w:cs="仿宋"/>
          <w:sz w:val="32"/>
          <w:szCs w:val="32"/>
        </w:rPr>
        <w:t>条 行业协会应当按照法律、法规规定和行业主管部门的相关规定细化本行业中介服务规范和标准，指导本行业中介服务机构提高服务质量，规范监督从业人员执业行为。</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十九</w:t>
      </w:r>
      <w:r>
        <w:rPr>
          <w:rFonts w:hint="eastAsia" w:ascii="仿宋" w:hAnsi="仿宋" w:eastAsia="仿宋" w:cs="仿宋"/>
          <w:sz w:val="32"/>
          <w:szCs w:val="32"/>
        </w:rPr>
        <w:t>条 中介服务机构应当依法具备相应资质、技术水平和执业人员。不得与自身服务范围相关的行政审批部门存在隶属关系或者聘用其在职人员、退休人员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限制期内</w:t>
      </w:r>
      <w:r>
        <w:rPr>
          <w:rFonts w:hint="eastAsia" w:ascii="仿宋" w:hAnsi="仿宋" w:eastAsia="仿宋" w:cs="仿宋"/>
          <w:sz w:val="32"/>
          <w:szCs w:val="32"/>
          <w:lang w:eastAsia="zh-CN"/>
        </w:rPr>
        <w:t>）</w:t>
      </w:r>
      <w:r>
        <w:rPr>
          <w:rFonts w:hint="eastAsia" w:ascii="仿宋" w:hAnsi="仿宋" w:eastAsia="仿宋" w:cs="仿宋"/>
          <w:sz w:val="32"/>
          <w:szCs w:val="32"/>
        </w:rPr>
        <w:t>，法律、法规和国家另有相关规定的除外。</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第二十条 中介服务机构应当在经营场所或者门户网站显著位置公示中介服务流程、办理时限、收费依据、收费标准、提供材料等，不得以任何理由违反公示内容提供中介服务。</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w:t>
      </w:r>
      <w:r>
        <w:rPr>
          <w:rFonts w:hint="eastAsia" w:ascii="仿宋" w:hAnsi="仿宋" w:eastAsia="仿宋" w:cs="仿宋"/>
          <w:sz w:val="32"/>
          <w:szCs w:val="32"/>
          <w:lang w:eastAsia="zh-CN"/>
        </w:rPr>
        <w:t>一</w:t>
      </w:r>
      <w:r>
        <w:rPr>
          <w:rFonts w:hint="eastAsia" w:ascii="仿宋" w:hAnsi="仿宋" w:eastAsia="仿宋" w:cs="仿宋"/>
          <w:sz w:val="32"/>
          <w:szCs w:val="32"/>
        </w:rPr>
        <w:t>条 中介服务机构提供中介服务应当依据行业收费标准收取费用，不得通过分解收费项目、重复收取费用、扩大收费范围、减少服务内容和降低服务质量等变相提高收费标准。</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w:t>
      </w:r>
      <w:r>
        <w:rPr>
          <w:rFonts w:hint="eastAsia" w:ascii="仿宋" w:hAnsi="仿宋" w:eastAsia="仿宋" w:cs="仿宋"/>
          <w:sz w:val="32"/>
          <w:szCs w:val="32"/>
          <w:lang w:eastAsia="zh-CN"/>
        </w:rPr>
        <w:t>二</w:t>
      </w:r>
      <w:r>
        <w:rPr>
          <w:rFonts w:hint="eastAsia" w:ascii="仿宋" w:hAnsi="仿宋" w:eastAsia="仿宋" w:cs="仿宋"/>
          <w:sz w:val="32"/>
          <w:szCs w:val="32"/>
        </w:rPr>
        <w:t>条 具有竞争关系的中介服务机构应当依法开展正当中介服务竞争，不得达成有关服务价格、服务范围、服务地域等垄断协议。</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行业协会不得组织或者变相组织本行业中介机构实施前款行为。</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w:t>
      </w:r>
      <w:r>
        <w:rPr>
          <w:rFonts w:hint="eastAsia" w:ascii="仿宋" w:hAnsi="仿宋" w:eastAsia="仿宋" w:cs="仿宋"/>
          <w:sz w:val="32"/>
          <w:szCs w:val="32"/>
          <w:lang w:eastAsia="zh-CN"/>
        </w:rPr>
        <w:t>三</w:t>
      </w:r>
      <w:r>
        <w:rPr>
          <w:rFonts w:hint="eastAsia" w:ascii="仿宋" w:hAnsi="仿宋" w:eastAsia="仿宋" w:cs="仿宋"/>
          <w:sz w:val="32"/>
          <w:szCs w:val="32"/>
        </w:rPr>
        <w:t>条 中介服务机构执业人员不得以同一执业资格在多个同类行业中介服务机构任职，法律、法规另有规定的除外。</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w:t>
      </w:r>
      <w:r>
        <w:rPr>
          <w:rFonts w:hint="eastAsia" w:ascii="仿宋" w:hAnsi="仿宋" w:eastAsia="仿宋" w:cs="仿宋"/>
          <w:sz w:val="32"/>
          <w:szCs w:val="32"/>
          <w:lang w:eastAsia="zh-CN"/>
        </w:rPr>
        <w:t>四</w:t>
      </w:r>
      <w:r>
        <w:rPr>
          <w:rFonts w:hint="eastAsia" w:ascii="仿宋" w:hAnsi="仿宋" w:eastAsia="仿宋" w:cs="仿宋"/>
          <w:sz w:val="32"/>
          <w:szCs w:val="32"/>
        </w:rPr>
        <w:t>条 中介服务机构提供中介服务应当建立执业记录，如实记载执业情况并按照法律、法规、规章规定的期限妥善保存执业记录、原始凭证、账簿、合同等资料;法律、法规、规章未规定的，保存期不得少于二年。</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第四章 政府委托中介服务</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w:t>
      </w:r>
      <w:r>
        <w:rPr>
          <w:rFonts w:hint="eastAsia" w:ascii="仿宋" w:hAnsi="仿宋" w:eastAsia="仿宋" w:cs="仿宋"/>
          <w:sz w:val="32"/>
          <w:szCs w:val="32"/>
          <w:lang w:eastAsia="zh-CN"/>
        </w:rPr>
        <w:t>五</w:t>
      </w:r>
      <w:r>
        <w:rPr>
          <w:rFonts w:hint="eastAsia" w:ascii="仿宋" w:hAnsi="仿宋" w:eastAsia="仿宋" w:cs="仿宋"/>
          <w:sz w:val="32"/>
          <w:szCs w:val="32"/>
        </w:rPr>
        <w:t>条 行政审批部门应当依据法律、法规、规章委托中介服务机构为其审批提供技术性服务。费用应由行政审批部门支付，不得转嫁给申请人。</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w:t>
      </w:r>
      <w:r>
        <w:rPr>
          <w:rFonts w:hint="eastAsia" w:ascii="仿宋" w:hAnsi="仿宋" w:eastAsia="仿宋" w:cs="仿宋"/>
          <w:sz w:val="32"/>
          <w:szCs w:val="32"/>
          <w:lang w:eastAsia="zh-CN"/>
        </w:rPr>
        <w:t>六</w:t>
      </w:r>
      <w:r>
        <w:rPr>
          <w:rFonts w:hint="eastAsia" w:ascii="仿宋" w:hAnsi="仿宋" w:eastAsia="仿宋" w:cs="仿宋"/>
          <w:sz w:val="32"/>
          <w:szCs w:val="32"/>
        </w:rPr>
        <w:t>条 行政审批部门应当依法采用竞争方式选定中介服务机构，综合评估中介服务机构服务质量、价格、成本等因素。不得划定区域、指定中介服务机构或者附加不合理条件。</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二十七</w:t>
      </w:r>
      <w:r>
        <w:rPr>
          <w:rFonts w:hint="eastAsia" w:ascii="仿宋" w:hAnsi="仿宋" w:eastAsia="仿宋" w:cs="仿宋"/>
          <w:sz w:val="32"/>
          <w:szCs w:val="32"/>
        </w:rPr>
        <w:t>条 行政审批部门应当委托与自身职能、人员、财务等无直接和间接利益关系的中介服务机构开展中介服务，不得委托被列入异常经营名录、严重违法失信名单、失信中介服务机构管理名单的中介服务机构开展中介服务。</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二十八</w:t>
      </w:r>
      <w:r>
        <w:rPr>
          <w:rFonts w:hint="eastAsia" w:ascii="仿宋" w:hAnsi="仿宋" w:eastAsia="仿宋" w:cs="仿宋"/>
          <w:sz w:val="32"/>
          <w:szCs w:val="32"/>
        </w:rPr>
        <w:t>条 行政审批部门应当依法签订中介服务委托合同，明确服务事项、费用、标准、时限等内容，生效后不得擅自变更合同内容。</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二十九</w:t>
      </w:r>
      <w:r>
        <w:rPr>
          <w:rFonts w:hint="eastAsia" w:ascii="仿宋" w:hAnsi="仿宋" w:eastAsia="仿宋" w:cs="仿宋"/>
          <w:sz w:val="32"/>
          <w:szCs w:val="32"/>
        </w:rPr>
        <w:t>条 行政审批部门应当直接采信中介服务机构依法提供的中介服务意见。依据法律、法规对中介服务意见进行审核的，应当明确审核时限、流程和标准，审核所需费用由行政审批部门承担。经过审核，不采信中介服务意见的，应当向申请人、中介服务机构书面说明不予采信的理由。</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第五章 法律责任</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第三十条 中介服务机构及其执业人员违反本</w:t>
      </w:r>
      <w:r>
        <w:rPr>
          <w:rFonts w:hint="eastAsia" w:ascii="仿宋" w:hAnsi="仿宋" w:eastAsia="仿宋" w:cs="仿宋"/>
          <w:sz w:val="32"/>
          <w:szCs w:val="32"/>
          <w:lang w:val="en-US" w:eastAsia="zh-CN"/>
        </w:rPr>
        <w:t>办法</w:t>
      </w:r>
      <w:r>
        <w:rPr>
          <w:rFonts w:hint="eastAsia" w:ascii="仿宋" w:hAnsi="仿宋" w:eastAsia="仿宋" w:cs="仿宋"/>
          <w:sz w:val="32"/>
          <w:szCs w:val="32"/>
        </w:rPr>
        <w:t>规定有下列情形之一的，由相关行政管理部门给予警告并责令限期改正，没收违法所得;逾期不改正的，</w:t>
      </w:r>
      <w:r>
        <w:rPr>
          <w:rFonts w:hint="eastAsia" w:ascii="仿宋" w:hAnsi="仿宋" w:eastAsia="仿宋" w:cs="仿宋"/>
          <w:sz w:val="32"/>
          <w:szCs w:val="32"/>
          <w:lang w:val="en-US" w:eastAsia="zh-CN"/>
        </w:rPr>
        <w:t>依法依支付进行经济处罚</w:t>
      </w:r>
      <w:r>
        <w:rPr>
          <w:rFonts w:hint="eastAsia" w:ascii="仿宋" w:hAnsi="仿宋" w:eastAsia="仿宋" w:cs="仿宋"/>
          <w:sz w:val="32"/>
          <w:szCs w:val="32"/>
        </w:rPr>
        <w:t>;情节严重的，依法吊销营业执照、许可证;给其他中介服务机构、委托人或者他人造成损失的，依法承担赔偿责任:</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(一)聘用与自身服务范围存在隶属关系的行政审批部门的在职人员、退休人员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限制期内</w:t>
      </w:r>
      <w:r>
        <w:rPr>
          <w:rFonts w:hint="eastAsia" w:ascii="仿宋" w:hAnsi="仿宋" w:eastAsia="仿宋" w:cs="仿宋"/>
          <w:sz w:val="32"/>
          <w:szCs w:val="32"/>
          <w:lang w:eastAsia="zh-CN"/>
        </w:rPr>
        <w:t>）</w:t>
      </w:r>
      <w:r>
        <w:rPr>
          <w:rFonts w:hint="eastAsia" w:ascii="仿宋" w:hAnsi="仿宋" w:eastAsia="仿宋" w:cs="仿宋"/>
          <w:sz w:val="32"/>
          <w:szCs w:val="32"/>
        </w:rPr>
        <w:t>的;</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(二)未在经营场所或者门户网站公示服务内容或者违反公示内容提供中介服务的;</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(三)利用非法手段干预网上中介服务交易平台运营、服务、监管的;</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(四)未依据行业收费标准收取费用或者通过分解收费项目、重复收取费用、扩大收费范围、减少服务内容和降低服务质量等变相提高收费标准的;</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(五)除法律法规另有规定外，中介服务机构执业人员以同一执业资格在多个同类行业中介服务机构任职的;</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(六)未按照规定期限保存中介服务执业记录的。</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行业协会组织本行业中介服务机构实施前款行为的，由其业务主管单位依法给予处罚;情节严重的，由登记机关依法撤销登记或者吊销法人登记证书。</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w:t>
      </w:r>
      <w:r>
        <w:rPr>
          <w:rFonts w:hint="eastAsia" w:ascii="仿宋" w:hAnsi="仿宋" w:eastAsia="仿宋" w:cs="仿宋"/>
          <w:sz w:val="32"/>
          <w:szCs w:val="32"/>
          <w:lang w:val="en-US" w:eastAsia="zh-CN"/>
        </w:rPr>
        <w:t>一</w:t>
      </w:r>
      <w:r>
        <w:rPr>
          <w:rFonts w:hint="eastAsia" w:ascii="仿宋" w:hAnsi="仿宋" w:eastAsia="仿宋" w:cs="仿宋"/>
          <w:sz w:val="32"/>
          <w:szCs w:val="32"/>
        </w:rPr>
        <w:t>条 行政审批部门、行业主管部门、市场监督管理部门和有关职能部门及其所属工作人员违反本</w:t>
      </w:r>
      <w:r>
        <w:rPr>
          <w:rFonts w:hint="eastAsia" w:ascii="仿宋" w:hAnsi="仿宋" w:eastAsia="仿宋" w:cs="仿宋"/>
          <w:sz w:val="32"/>
          <w:szCs w:val="32"/>
          <w:lang w:val="en-US" w:eastAsia="zh-CN"/>
        </w:rPr>
        <w:t>办法</w:t>
      </w:r>
      <w:r>
        <w:rPr>
          <w:rFonts w:hint="eastAsia" w:ascii="仿宋" w:hAnsi="仿宋" w:eastAsia="仿宋" w:cs="仿宋"/>
          <w:sz w:val="32"/>
          <w:szCs w:val="32"/>
        </w:rPr>
        <w:t>规定，有下列情形之一的，由所在单位、上级行政管理部门责令改正，并依法</w:t>
      </w:r>
      <w:r>
        <w:rPr>
          <w:rFonts w:hint="eastAsia" w:ascii="仿宋" w:hAnsi="仿宋" w:eastAsia="仿宋" w:cs="仿宋"/>
          <w:sz w:val="32"/>
          <w:szCs w:val="32"/>
          <w:lang w:val="en-US" w:eastAsia="zh-CN"/>
        </w:rPr>
        <w:t>依规</w:t>
      </w:r>
      <w:r>
        <w:rPr>
          <w:rFonts w:hint="eastAsia" w:ascii="仿宋" w:hAnsi="仿宋" w:eastAsia="仿宋" w:cs="仿宋"/>
          <w:sz w:val="32"/>
          <w:szCs w:val="32"/>
        </w:rPr>
        <w:t>追究直接负责的主管人员和其他直接责任人员的行政责任:</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(一)在法定中介服务事项清单外，要求申请人委托中介服务机构的，并要求申请人提供相关中介服务材料的;</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(二)在法定资质资格许可外，增设中介服务机构资质资格审批的，增设区域性、行业性、部门间中介服务机构执业限制的，增设限额管理控制中介服务机构数量、服务范围的;</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(三)将中介服务事项清单外的服务，作为行政审批条件的;</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(四)将现有或者已经取消的行政审批事项，转为委托中介服务形式开展的;</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(五)将申请人可以自行完成的事项强制限定为中介服务机构提供的;</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(六)将一项中介服务事项拆分为多个环节的;</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(七)将政府委托中介服务费用转嫁给中介服务机构或者申请人的;</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(八)政府委托中介服务未依法采用竞争方式选定中介服务机构，划定区域、指定中介服务机构或者附加不合理条件的;</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(九)未依法核实情况导致中介服务机构未入驻网上中介服务交易平台的;</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(十)委托与自身职能、人员、财务等有利益关系或者委托被列入异常经营名录、严重违法失信名单、失信中介服务机构管理名单的中介服务机构开展中介服务的;</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(十一)未依法签订中介服务委托合同或者擅自变更合同内容的;</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(十二)有其他滥用职权、玩忽职守、徇私舞弊以及不作为行为的。</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w:t>
      </w:r>
      <w:r>
        <w:rPr>
          <w:rFonts w:hint="eastAsia" w:ascii="仿宋" w:hAnsi="仿宋" w:eastAsia="仿宋" w:cs="仿宋"/>
          <w:sz w:val="32"/>
          <w:szCs w:val="32"/>
          <w:lang w:eastAsia="zh-CN"/>
        </w:rPr>
        <w:t>二</w:t>
      </w:r>
      <w:r>
        <w:rPr>
          <w:rFonts w:hint="eastAsia" w:ascii="仿宋" w:hAnsi="仿宋" w:eastAsia="仿宋" w:cs="仿宋"/>
          <w:sz w:val="32"/>
          <w:szCs w:val="32"/>
        </w:rPr>
        <w:t>条 对被市场监督管理部门列入经营异常名录和严重违法失信企业名单、被行业主管部门列入失信中介服务机构管理名单的中介服务机构，可以采取以下措施:</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(一)移出中介服务机构名录库;</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(三)不予委托使用财政性资金项目的中介服务业务;</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(四)不予采信中介服务结论。</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w:t>
      </w:r>
      <w:r>
        <w:rPr>
          <w:rFonts w:hint="eastAsia" w:ascii="仿宋" w:hAnsi="仿宋" w:eastAsia="仿宋" w:cs="仿宋"/>
          <w:sz w:val="32"/>
          <w:szCs w:val="32"/>
          <w:lang w:val="en-US" w:eastAsia="zh-CN"/>
        </w:rPr>
        <w:t>三</w:t>
      </w:r>
      <w:r>
        <w:rPr>
          <w:rFonts w:hint="eastAsia" w:ascii="仿宋" w:hAnsi="仿宋" w:eastAsia="仿宋" w:cs="仿宋"/>
          <w:sz w:val="32"/>
          <w:szCs w:val="32"/>
        </w:rPr>
        <w:t>条 行政审批部门、行业主管部门、市场监督管理部门和有关职能部门及其所属工作人员，行业协会、中介服务机构及其从业人员违反本</w:t>
      </w:r>
      <w:r>
        <w:rPr>
          <w:rFonts w:hint="eastAsia" w:ascii="仿宋" w:hAnsi="仿宋" w:eastAsia="仿宋" w:cs="仿宋"/>
          <w:sz w:val="32"/>
          <w:szCs w:val="32"/>
          <w:lang w:val="en-US" w:eastAsia="zh-CN"/>
        </w:rPr>
        <w:t>办法</w:t>
      </w:r>
      <w:r>
        <w:rPr>
          <w:rFonts w:hint="eastAsia" w:ascii="仿宋" w:hAnsi="仿宋" w:eastAsia="仿宋" w:cs="仿宋"/>
          <w:sz w:val="32"/>
          <w:szCs w:val="32"/>
        </w:rPr>
        <w:t>规定，法律、行政法规已有处理规定的，从其规定;涉嫌犯罪的，依法移送有关机关处理。</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六</w:t>
      </w:r>
      <w:r>
        <w:rPr>
          <w:rFonts w:hint="eastAsia" w:ascii="黑体" w:hAnsi="黑体" w:eastAsia="黑体" w:cs="黑体"/>
          <w:sz w:val="32"/>
          <w:szCs w:val="32"/>
        </w:rPr>
        <w:t>章 附则</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三</w:t>
      </w:r>
      <w:r>
        <w:rPr>
          <w:rFonts w:hint="eastAsia" w:ascii="仿宋" w:hAnsi="仿宋" w:eastAsia="仿宋" w:cs="仿宋"/>
          <w:sz w:val="32"/>
          <w:szCs w:val="32"/>
        </w:rPr>
        <w:t>十</w:t>
      </w:r>
      <w:r>
        <w:rPr>
          <w:rFonts w:hint="eastAsia" w:ascii="仿宋" w:hAnsi="仿宋" w:eastAsia="仿宋" w:cs="仿宋"/>
          <w:sz w:val="32"/>
          <w:szCs w:val="32"/>
          <w:lang w:val="en-US" w:eastAsia="zh-CN"/>
        </w:rPr>
        <w:t>四</w:t>
      </w:r>
      <w:r>
        <w:rPr>
          <w:rFonts w:hint="eastAsia" w:ascii="仿宋" w:hAnsi="仿宋" w:eastAsia="仿宋" w:cs="仿宋"/>
          <w:sz w:val="32"/>
          <w:szCs w:val="32"/>
        </w:rPr>
        <w:t>条 本</w:t>
      </w:r>
      <w:r>
        <w:rPr>
          <w:rFonts w:hint="eastAsia" w:ascii="仿宋" w:hAnsi="仿宋" w:eastAsia="仿宋" w:cs="仿宋"/>
          <w:sz w:val="32"/>
          <w:szCs w:val="32"/>
          <w:lang w:val="en-US" w:eastAsia="zh-CN"/>
        </w:rPr>
        <w:t>办法</w:t>
      </w:r>
      <w:r>
        <w:rPr>
          <w:rFonts w:hint="eastAsia" w:ascii="仿宋" w:hAnsi="仿宋" w:eastAsia="仿宋" w:cs="仿宋"/>
          <w:sz w:val="32"/>
          <w:szCs w:val="32"/>
        </w:rPr>
        <w:t>自</w:t>
      </w:r>
      <w:r>
        <w:rPr>
          <w:rFonts w:hint="eastAsia" w:ascii="仿宋" w:hAnsi="仿宋" w:eastAsia="仿宋" w:cs="仿宋"/>
          <w:sz w:val="32"/>
          <w:szCs w:val="32"/>
          <w:lang w:val="en-US" w:eastAsia="zh-CN"/>
        </w:rPr>
        <w:t>印发之日</w:t>
      </w:r>
      <w:r>
        <w:rPr>
          <w:rFonts w:hint="eastAsia" w:ascii="仿宋" w:hAnsi="仿宋" w:eastAsia="仿宋" w:cs="仿宋"/>
          <w:sz w:val="32"/>
          <w:szCs w:val="32"/>
        </w:rPr>
        <w:t>起</w:t>
      </w:r>
      <w:r>
        <w:rPr>
          <w:rFonts w:hint="eastAsia" w:ascii="仿宋" w:hAnsi="仿宋" w:eastAsia="仿宋" w:cs="仿宋"/>
          <w:sz w:val="32"/>
          <w:szCs w:val="32"/>
          <w:lang w:val="en-US" w:eastAsia="zh-CN"/>
        </w:rPr>
        <w:t>执行</w:t>
      </w:r>
      <w:r>
        <w:rPr>
          <w:rFonts w:hint="eastAsia" w:ascii="仿宋" w:hAnsi="仿宋" w:eastAsia="仿宋" w:cs="仿宋"/>
          <w:sz w:val="32"/>
          <w:szCs w:val="32"/>
        </w:rPr>
        <w:t>。</w:t>
      </w:r>
    </w:p>
    <w:p>
      <w:pPr>
        <w:ind w:left="0" w:leftChars="0" w:firstLine="640" w:firstLineChars="200"/>
        <w:rPr>
          <w:rFonts w:hint="eastAsia" w:ascii="仿宋" w:hAnsi="仿宋" w:eastAsia="仿宋" w:cs="仿宋"/>
          <w:sz w:val="32"/>
          <w:szCs w:val="32"/>
        </w:rPr>
      </w:pPr>
    </w:p>
    <w:p>
      <w:pPr>
        <w:spacing w:line="560" w:lineRule="exact"/>
        <w:ind w:right="57"/>
        <w:jc w:val="both"/>
        <w:rPr>
          <w:rFonts w:hint="eastAsia" w:ascii="仿宋_GB2312" w:hAnsi="文星仿宋" w:eastAsia="仿宋_GB2312"/>
          <w:sz w:val="32"/>
          <w:szCs w:val="32"/>
        </w:rPr>
      </w:pPr>
    </w:p>
    <w:p>
      <w:pPr>
        <w:pStyle w:val="13"/>
        <w:ind w:left="0" w:leftChars="0" w:right="-57" w:rightChars="-27" w:firstLine="0" w:firstLineChars="0"/>
        <w:jc w:val="left"/>
        <w:rPr>
          <w:rFonts w:ascii="仿宋" w:hAnsi="仿宋" w:eastAsia="仿宋"/>
          <w:sz w:val="32"/>
          <w:szCs w:val="32"/>
        </w:rPr>
      </w:pPr>
    </w:p>
    <w:p>
      <w:pPr>
        <w:pStyle w:val="13"/>
        <w:ind w:left="1427" w:right="-57" w:rightChars="-27" w:firstLine="0" w:firstLineChars="0"/>
        <w:jc w:val="left"/>
        <w:rPr>
          <w:rFonts w:ascii="仿宋" w:hAnsi="仿宋" w:eastAsia="仿宋"/>
          <w:sz w:val="32"/>
          <w:szCs w:val="32"/>
        </w:rPr>
      </w:pPr>
    </w:p>
    <w:p>
      <w:pPr>
        <w:pStyle w:val="13"/>
        <w:ind w:left="1427" w:right="-57" w:rightChars="-27" w:firstLine="0" w:firstLineChars="0"/>
        <w:jc w:val="left"/>
        <w:rPr>
          <w:rFonts w:ascii="仿宋" w:hAnsi="仿宋" w:eastAsia="仿宋"/>
          <w:sz w:val="32"/>
          <w:szCs w:val="32"/>
        </w:rPr>
      </w:pPr>
    </w:p>
    <w:p>
      <w:pPr>
        <w:pStyle w:val="13"/>
        <w:ind w:left="1427" w:right="-57" w:rightChars="-27" w:firstLine="0" w:firstLineChars="0"/>
        <w:jc w:val="left"/>
        <w:rPr>
          <w:rFonts w:ascii="仿宋" w:hAnsi="仿宋" w:eastAsia="仿宋"/>
          <w:sz w:val="32"/>
          <w:szCs w:val="32"/>
        </w:rPr>
      </w:pPr>
    </w:p>
    <w:p>
      <w:pPr>
        <w:pStyle w:val="13"/>
        <w:ind w:left="1427" w:right="-57" w:rightChars="-27" w:firstLine="0" w:firstLineChars="0"/>
        <w:jc w:val="left"/>
        <w:rPr>
          <w:rFonts w:ascii="仿宋" w:hAnsi="仿宋" w:eastAsia="仿宋"/>
          <w:sz w:val="32"/>
          <w:szCs w:val="32"/>
        </w:rPr>
      </w:pPr>
    </w:p>
    <w:p>
      <w:pPr>
        <w:pStyle w:val="13"/>
        <w:ind w:left="1427" w:right="-57" w:rightChars="-27" w:firstLine="0" w:firstLineChars="0"/>
        <w:jc w:val="left"/>
        <w:rPr>
          <w:rFonts w:ascii="仿宋" w:hAnsi="仿宋" w:eastAsia="仿宋"/>
          <w:sz w:val="32"/>
          <w:szCs w:val="32"/>
        </w:rPr>
      </w:pPr>
    </w:p>
    <w:p>
      <w:pPr>
        <w:pStyle w:val="13"/>
        <w:ind w:left="1427" w:right="-57" w:rightChars="-27" w:firstLine="0" w:firstLineChars="0"/>
        <w:jc w:val="left"/>
        <w:rPr>
          <w:rFonts w:ascii="仿宋" w:hAnsi="仿宋" w:eastAsia="仿宋"/>
          <w:sz w:val="32"/>
          <w:szCs w:val="32"/>
        </w:rPr>
      </w:pPr>
    </w:p>
    <w:p>
      <w:pPr>
        <w:pStyle w:val="13"/>
        <w:ind w:left="1427" w:right="-57" w:rightChars="-27" w:firstLine="0" w:firstLineChars="0"/>
        <w:jc w:val="left"/>
        <w:rPr>
          <w:rFonts w:ascii="仿宋" w:hAnsi="仿宋" w:eastAsia="仿宋"/>
          <w:sz w:val="32"/>
          <w:szCs w:val="32"/>
        </w:rPr>
      </w:pPr>
    </w:p>
    <w:p>
      <w:pPr>
        <w:pStyle w:val="13"/>
        <w:ind w:left="1427" w:right="-57" w:rightChars="-27" w:firstLine="0" w:firstLineChars="0"/>
        <w:jc w:val="left"/>
        <w:rPr>
          <w:rFonts w:ascii="仿宋" w:hAnsi="仿宋" w:eastAsia="仿宋"/>
          <w:sz w:val="32"/>
          <w:szCs w:val="32"/>
        </w:rPr>
      </w:pPr>
    </w:p>
    <w:p>
      <w:pPr>
        <w:pStyle w:val="13"/>
        <w:ind w:left="1427" w:right="-57" w:rightChars="-27" w:firstLine="0" w:firstLineChars="0"/>
        <w:jc w:val="left"/>
        <w:rPr>
          <w:rFonts w:ascii="仿宋" w:hAnsi="仿宋" w:eastAsia="仿宋"/>
          <w:sz w:val="32"/>
          <w:szCs w:val="32"/>
        </w:rPr>
      </w:pPr>
    </w:p>
    <w:p>
      <w:pPr>
        <w:pStyle w:val="13"/>
        <w:ind w:left="1427" w:right="-57" w:rightChars="-27" w:firstLine="0" w:firstLineChars="0"/>
        <w:jc w:val="left"/>
        <w:rPr>
          <w:rFonts w:ascii="仿宋" w:hAnsi="仿宋" w:eastAsia="仿宋"/>
          <w:sz w:val="32"/>
          <w:szCs w:val="32"/>
        </w:rPr>
      </w:pPr>
    </w:p>
    <w:p>
      <w:pPr>
        <w:pStyle w:val="13"/>
        <w:ind w:left="1427" w:right="-57" w:rightChars="-27" w:firstLine="0" w:firstLineChars="0"/>
        <w:jc w:val="left"/>
        <w:rPr>
          <w:rFonts w:ascii="仿宋" w:hAnsi="仿宋" w:eastAsia="仿宋"/>
          <w:sz w:val="32"/>
          <w:szCs w:val="32"/>
        </w:rPr>
      </w:pPr>
    </w:p>
    <w:p>
      <w:pPr>
        <w:pStyle w:val="13"/>
        <w:ind w:left="1427" w:right="-57" w:rightChars="-27" w:firstLine="0" w:firstLineChars="0"/>
        <w:jc w:val="left"/>
        <w:rPr>
          <w:rFonts w:ascii="仿宋" w:hAnsi="仿宋" w:eastAsia="仿宋"/>
          <w:sz w:val="32"/>
          <w:szCs w:val="32"/>
        </w:rPr>
      </w:pPr>
    </w:p>
    <w:p>
      <w:pPr>
        <w:pStyle w:val="13"/>
        <w:ind w:left="1427" w:right="-57" w:rightChars="-27" w:firstLine="0" w:firstLineChars="0"/>
        <w:jc w:val="left"/>
        <w:rPr>
          <w:rFonts w:ascii="仿宋" w:hAnsi="仿宋" w:eastAsia="仿宋"/>
          <w:sz w:val="32"/>
          <w:szCs w:val="32"/>
        </w:rPr>
      </w:pPr>
    </w:p>
    <w:p>
      <w:pPr>
        <w:pStyle w:val="13"/>
        <w:ind w:left="1427" w:right="-57" w:rightChars="-27" w:firstLine="0" w:firstLineChars="0"/>
        <w:jc w:val="left"/>
        <w:rPr>
          <w:rFonts w:ascii="仿宋" w:hAnsi="仿宋" w:eastAsia="仿宋"/>
          <w:sz w:val="32"/>
          <w:szCs w:val="32"/>
        </w:rPr>
      </w:pPr>
    </w:p>
    <w:p>
      <w:pPr>
        <w:pStyle w:val="13"/>
        <w:ind w:left="1427" w:right="-57" w:rightChars="-27" w:firstLine="0" w:firstLineChars="0"/>
        <w:jc w:val="left"/>
        <w:rPr>
          <w:rFonts w:ascii="仿宋" w:hAnsi="仿宋" w:eastAsia="仿宋"/>
          <w:sz w:val="32"/>
          <w:szCs w:val="32"/>
        </w:rPr>
      </w:pPr>
    </w:p>
    <w:p>
      <w:pPr>
        <w:pStyle w:val="13"/>
        <w:ind w:left="1427" w:right="-57" w:rightChars="-27" w:firstLine="0" w:firstLineChars="0"/>
        <w:jc w:val="left"/>
        <w:rPr>
          <w:rFonts w:ascii="仿宋" w:hAnsi="仿宋" w:eastAsia="仿宋"/>
          <w:sz w:val="32"/>
          <w:szCs w:val="32"/>
        </w:rPr>
      </w:pPr>
    </w:p>
    <w:p>
      <w:pPr>
        <w:spacing w:line="626" w:lineRule="exact"/>
        <w:ind w:firstLine="640" w:firstLineChars="200"/>
        <w:jc w:val="right"/>
        <w:rPr>
          <w:rFonts w:ascii="Times New Roman" w:hAnsi="Times New Roman" w:eastAsia="仿宋_GB2312" w:cs="Times New Roman"/>
          <w:sz w:val="32"/>
          <w:szCs w:val="32"/>
        </w:rPr>
      </w:pPr>
    </w:p>
    <w:p>
      <w:pPr>
        <w:spacing w:line="626" w:lineRule="exact"/>
        <w:ind w:firstLine="640" w:firstLineChars="200"/>
        <w:jc w:val="right"/>
        <w:rPr>
          <w:rFonts w:ascii="Times New Roman" w:hAnsi="Times New Roman" w:eastAsia="仿宋_GB2312" w:cs="Times New Roman"/>
          <w:sz w:val="32"/>
          <w:szCs w:val="32"/>
        </w:rPr>
      </w:pPr>
    </w:p>
    <w:p>
      <w:pPr>
        <w:spacing w:line="100" w:lineRule="exact"/>
        <w:rPr>
          <w:rFonts w:ascii="仿宋" w:hAnsi="仿宋" w:eastAsia="仿宋" w:cs="仿宋"/>
          <w:sz w:val="32"/>
          <w:szCs w:val="40"/>
        </w:rPr>
      </w:pPr>
      <w:r>
        <w:rPr>
          <w:rFonts w:hint="eastAsia" w:ascii="仿宋_GB2312" w:hAnsi="仿宋_GB2312" w:eastAsia="仿宋_GB2312" w:cs="仿宋_GB2312"/>
          <w:spacing w:val="-10"/>
          <w:sz w:val="28"/>
          <w:szCs w:val="28"/>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13970</wp:posOffset>
                </wp:positionV>
                <wp:extent cx="5615940" cy="635"/>
                <wp:effectExtent l="8255" t="13970" r="14605" b="1397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15940" cy="635"/>
                        </a:xfrm>
                        <a:prstGeom prst="line">
                          <a:avLst/>
                        </a:prstGeom>
                        <a:noFill/>
                        <a:ln w="12700" cmpd="sng">
                          <a:solidFill>
                            <a:srgbClr val="000000"/>
                          </a:solidFill>
                          <a:round/>
                        </a:ln>
                      </wps:spPr>
                      <wps:bodyPr/>
                    </wps:wsp>
                  </a:graphicData>
                </a:graphic>
              </wp:anchor>
            </w:drawing>
          </mc:Choice>
          <mc:Fallback>
            <w:pict>
              <v:line id="_x0000_s1026" o:spid="_x0000_s1026" o:spt="20" style="position:absolute;left:0pt;margin-left:1.4pt;margin-top:1.1pt;height:0.05pt;width:442.2pt;z-index:251659264;mso-width-relative:page;mso-height-relative:page;" filled="f" stroked="t" coordsize="21600,21600" o:gfxdata="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n3q&#10;XdQAAAAFAQAADwAAAAAAAAABACAAAAAiAAAAZHJzL2Rvd25yZXYueG1sUEsBAhQAFAAAAAgAh07i&#10;QO7oGFvtAQAAuAMAAA4AAAAAAAAAAQAgAAAAIwEAAGRycy9lMm9Eb2MueG1sUEsFBgAAAAAGAAYA&#10;WQEAAIIFAAAAAA==&#10;">
                <v:fill on="f" focussize="0,0"/>
                <v:stroke weight="1pt" color="#000000" joinstyle="round"/>
                <v:imagedata o:title=""/>
                <o:lock v:ext="edit" aspectratio="f"/>
              </v:line>
            </w:pict>
          </mc:Fallback>
        </mc:AlternateContent>
      </w:r>
    </w:p>
    <w:p>
      <w:pPr>
        <w:spacing w:line="300" w:lineRule="exact"/>
        <w:rPr>
          <w:rFonts w:ascii="Times New Roman" w:hAnsi="Times New Roman" w:eastAsia="仿宋_GB2312" w:cs="Times New Roman"/>
          <w:spacing w:val="-10"/>
          <w:sz w:val="28"/>
          <w:szCs w:val="28"/>
        </w:rPr>
      </w:pPr>
      <w:r>
        <w:rPr>
          <w:rFonts w:hint="eastAsia" w:ascii="仿宋_GB2312" w:hAnsi="仿宋_GB2312" w:eastAsia="仿宋_GB2312" w:cs="仿宋_GB2312"/>
          <w:spacing w:val="-10"/>
          <w:sz w:val="28"/>
          <w:szCs w:val="28"/>
        </w:rPr>
        <w:t>　</w:t>
      </w:r>
      <w:r>
        <w:rPr>
          <w:rFonts w:ascii="Times New Roman" w:hAnsi="Times New Roman" w:eastAsia="仿宋_GB2312" w:cs="Times New Roman"/>
          <w:spacing w:val="-10"/>
          <w:sz w:val="28"/>
          <w:szCs w:val="28"/>
        </w:rPr>
        <w:t>伊川县</w:t>
      </w:r>
      <w:r>
        <w:rPr>
          <w:rFonts w:hint="eastAsia" w:ascii="Times New Roman" w:hAnsi="Times New Roman" w:eastAsia="仿宋_GB2312" w:cs="Times New Roman"/>
          <w:spacing w:val="-10"/>
          <w:sz w:val="28"/>
          <w:szCs w:val="28"/>
        </w:rPr>
        <w:t>人民政府推进政府职能转</w:t>
      </w:r>
    </w:p>
    <w:p>
      <w:pPr>
        <w:spacing w:line="300" w:lineRule="exact"/>
        <w:rPr>
          <w:rFonts w:ascii="仿宋" w:hAnsi="仿宋" w:eastAsia="仿宋"/>
          <w:sz w:val="32"/>
          <w:szCs w:val="32"/>
        </w:rPr>
      </w:pPr>
      <w:r>
        <w:rPr>
          <w:rFonts w:ascii="Calibri" w:hAnsi="Calibri" w:eastAsia="宋体" w:cs="Times New Roman"/>
          <w:sz w:val="28"/>
        </w:rPr>
        <mc:AlternateContent>
          <mc:Choice Requires="wps">
            <w:drawing>
              <wp:anchor distT="0" distB="0" distL="114300" distR="114300" simplePos="0" relativeHeight="251661312" behindDoc="0" locked="0" layoutInCell="1" allowOverlap="1">
                <wp:simplePos x="0" y="0"/>
                <wp:positionH relativeFrom="column">
                  <wp:posOffset>2503805</wp:posOffset>
                </wp:positionH>
                <wp:positionV relativeFrom="paragraph">
                  <wp:posOffset>442595</wp:posOffset>
                </wp:positionV>
                <wp:extent cx="657860" cy="346710"/>
                <wp:effectExtent l="0" t="4445" r="635" b="127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657860" cy="34671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7.15pt;margin-top:34.85pt;height:27.3pt;width:51.8pt;z-index:251661312;mso-width-relative:page;mso-height-relative:page;" fillcolor="#FFFFFF" filled="t" stroked="f" coordsize="21600,21600" o:gfxdata="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LcsXr1wAAAAoB&#10;AAAPAAAAAAAAAAEAIAAAACIAAABkcnMvZG93bnJldi54bWxQSwECFAAUAAAACACHTuJAkcUE3hwC&#10;AAAlBAAADgAAAAAAAAABACAAAAAmAQAAZHJzL2Uyb0RvYy54bWxQSwUGAAAAAAYABgBZAQAAtAUA&#10;AAAA&#10;">
                <v:fill on="t" focussize="0,0"/>
                <v:stroke on="f"/>
                <v:imagedata o:title=""/>
                <o:lock v:ext="edit" aspectratio="f"/>
              </v:rect>
            </w:pict>
          </mc:Fallback>
        </mc:AlternateContent>
      </w:r>
      <w:r>
        <w:rPr>
          <w:rFonts w:hint="eastAsia" w:ascii="仿宋_GB2312" w:hAnsi="仿宋_GB2312" w:eastAsia="仿宋_GB2312" w:cs="仿宋_GB2312"/>
          <w:spacing w:val="-10"/>
          <w:sz w:val="28"/>
          <w:szCs w:val="28"/>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230505</wp:posOffset>
                </wp:positionV>
                <wp:extent cx="5615940" cy="635"/>
                <wp:effectExtent l="14605" t="11430" r="8255" b="698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5940" cy="635"/>
                        </a:xfrm>
                        <a:prstGeom prst="line">
                          <a:avLst/>
                        </a:prstGeom>
                        <a:noFill/>
                        <a:ln w="12700" cmpd="sng">
                          <a:solidFill>
                            <a:srgbClr val="000000"/>
                          </a:solidFill>
                          <a:round/>
                        </a:ln>
                      </wps:spPr>
                      <wps:bodyPr/>
                    </wps:wsp>
                  </a:graphicData>
                </a:graphic>
              </wp:anchor>
            </w:drawing>
          </mc:Choice>
          <mc:Fallback>
            <w:pict>
              <v:line id="_x0000_s1026" o:spid="_x0000_s1026" o:spt="20" style="position:absolute;left:0pt;margin-left:-0.35pt;margin-top:18.15pt;height:0.05pt;width:442.2pt;z-index:251660288;mso-width-relative:page;mso-height-relative:page;" filled="f" stroked="t" coordsize="21600,21600" o:gfxdata="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Ys&#10;85LVAAAABwEAAA8AAAAAAAAAAQAgAAAAIgAAAGRycy9kb3ducmV2LnhtbFBLAQIUABQAAAAIAIdO&#10;4kB7u/MY7QEAALgDAAAOAAAAAAAAAAEAIAAAACQBAABkcnMvZTJvRG9jLnhtbFBLBQYAAAAABgAG&#10;AFkBAACDBQAAAAA=&#10;">
                <v:fill on="f" focussize="0,0"/>
                <v:stroke weight="1pt" color="#000000" joinstyle="round"/>
                <v:imagedata o:title=""/>
                <o:lock v:ext="edit" aspectratio="f"/>
              </v:line>
            </w:pict>
          </mc:Fallback>
        </mc:AlternateContent>
      </w:r>
      <w:r>
        <w:rPr>
          <w:rFonts w:hint="eastAsia" w:ascii="Times New Roman" w:hAnsi="Times New Roman" w:eastAsia="仿宋_GB2312" w:cs="Times New Roman"/>
          <w:spacing w:val="-10"/>
          <w:sz w:val="28"/>
          <w:szCs w:val="28"/>
        </w:rPr>
        <w:t>　变和放管服改革协调</w:t>
      </w:r>
      <w:r>
        <w:rPr>
          <w:rFonts w:ascii="Times New Roman" w:hAnsi="Times New Roman" w:eastAsia="仿宋_GB2312" w:cs="Times New Roman"/>
          <w:spacing w:val="-10"/>
          <w:sz w:val="28"/>
          <w:szCs w:val="28"/>
        </w:rPr>
        <w:t>小组办公室　</w:t>
      </w:r>
      <w:r>
        <w:rPr>
          <w:rFonts w:hint="eastAsia" w:ascii="Times New Roman" w:hAnsi="Times New Roman" w:eastAsia="仿宋_GB2312" w:cs="Times New Roman"/>
          <w:spacing w:val="-10"/>
          <w:sz w:val="28"/>
          <w:szCs w:val="28"/>
        </w:rPr>
        <w:t>　　　　　　</w:t>
      </w:r>
      <w:r>
        <w:rPr>
          <w:rFonts w:ascii="Times New Roman" w:hAnsi="Times New Roman" w:eastAsia="仿宋_GB2312" w:cs="Times New Roman"/>
          <w:spacing w:val="-10"/>
          <w:sz w:val="28"/>
          <w:szCs w:val="28"/>
        </w:rPr>
        <w:t>202</w:t>
      </w:r>
      <w:r>
        <w:rPr>
          <w:rFonts w:hint="eastAsia" w:ascii="Times New Roman" w:hAnsi="Times New Roman" w:eastAsia="仿宋_GB2312" w:cs="Times New Roman"/>
          <w:spacing w:val="-10"/>
          <w:sz w:val="28"/>
          <w:szCs w:val="28"/>
        </w:rPr>
        <w:t>1</w:t>
      </w:r>
      <w:r>
        <w:rPr>
          <w:rFonts w:ascii="Times New Roman" w:hAnsi="Times New Roman" w:eastAsia="仿宋_GB2312" w:cs="Times New Roman"/>
          <w:spacing w:val="-10"/>
          <w:sz w:val="28"/>
          <w:szCs w:val="28"/>
        </w:rPr>
        <w:t>年11月</w:t>
      </w:r>
      <w:r>
        <w:rPr>
          <w:rFonts w:hint="eastAsia" w:ascii="Times New Roman" w:hAnsi="Times New Roman" w:eastAsia="仿宋_GB2312" w:cs="Times New Roman"/>
          <w:spacing w:val="-10"/>
          <w:sz w:val="28"/>
          <w:szCs w:val="28"/>
          <w:lang w:val="en-US" w:eastAsia="zh-CN"/>
        </w:rPr>
        <w:t>2</w:t>
      </w:r>
      <w:r>
        <w:rPr>
          <w:rFonts w:ascii="Times New Roman" w:hAnsi="Times New Roman" w:eastAsia="仿宋_GB2312" w:cs="Times New Roman"/>
          <w:spacing w:val="-10"/>
          <w:sz w:val="28"/>
          <w:szCs w:val="28"/>
        </w:rPr>
        <w:t>5日印发</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文星仿宋">
    <w:altName w:val="仿宋"/>
    <w:panose1 w:val="02010604000101010101"/>
    <w:charset w:val="86"/>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206329"/>
    <w:multiLevelType w:val="singleLevel"/>
    <w:tmpl w:val="EE206329"/>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4D4"/>
    <w:rsid w:val="00050C1E"/>
    <w:rsid w:val="0009743C"/>
    <w:rsid w:val="000C2BF5"/>
    <w:rsid w:val="001B01D3"/>
    <w:rsid w:val="001C5233"/>
    <w:rsid w:val="00254F92"/>
    <w:rsid w:val="00261DDA"/>
    <w:rsid w:val="00290A8A"/>
    <w:rsid w:val="00296EEC"/>
    <w:rsid w:val="0030624A"/>
    <w:rsid w:val="003760D3"/>
    <w:rsid w:val="0057180C"/>
    <w:rsid w:val="005B7546"/>
    <w:rsid w:val="005D0A5B"/>
    <w:rsid w:val="005E225A"/>
    <w:rsid w:val="005E3C99"/>
    <w:rsid w:val="006060A9"/>
    <w:rsid w:val="00784145"/>
    <w:rsid w:val="00790CAC"/>
    <w:rsid w:val="007F741F"/>
    <w:rsid w:val="008024B2"/>
    <w:rsid w:val="00805B50"/>
    <w:rsid w:val="00823EF3"/>
    <w:rsid w:val="009A34A0"/>
    <w:rsid w:val="009E74D4"/>
    <w:rsid w:val="00B73695"/>
    <w:rsid w:val="00B82DE5"/>
    <w:rsid w:val="00BB451C"/>
    <w:rsid w:val="00BB5AFC"/>
    <w:rsid w:val="00BE380C"/>
    <w:rsid w:val="00C5433C"/>
    <w:rsid w:val="00DD6BF8"/>
    <w:rsid w:val="00E03F61"/>
    <w:rsid w:val="00EC59BA"/>
    <w:rsid w:val="00EE3DAC"/>
    <w:rsid w:val="00FF75A2"/>
    <w:rsid w:val="036B1D2C"/>
    <w:rsid w:val="055134AB"/>
    <w:rsid w:val="06DD1342"/>
    <w:rsid w:val="07A27B7D"/>
    <w:rsid w:val="09176FF4"/>
    <w:rsid w:val="09D9119E"/>
    <w:rsid w:val="0ABF4DA9"/>
    <w:rsid w:val="0B0C52D6"/>
    <w:rsid w:val="0C6F50D1"/>
    <w:rsid w:val="0CA12DC8"/>
    <w:rsid w:val="0E707BB8"/>
    <w:rsid w:val="0FD6521E"/>
    <w:rsid w:val="105F03D7"/>
    <w:rsid w:val="12410444"/>
    <w:rsid w:val="19073455"/>
    <w:rsid w:val="1C0D6670"/>
    <w:rsid w:val="1DA10708"/>
    <w:rsid w:val="21974B17"/>
    <w:rsid w:val="279F23E2"/>
    <w:rsid w:val="2B683A39"/>
    <w:rsid w:val="306A1DBD"/>
    <w:rsid w:val="3406444F"/>
    <w:rsid w:val="3C716264"/>
    <w:rsid w:val="3DC76F84"/>
    <w:rsid w:val="43443180"/>
    <w:rsid w:val="4518269F"/>
    <w:rsid w:val="45CB0639"/>
    <w:rsid w:val="479D0F27"/>
    <w:rsid w:val="47A72C07"/>
    <w:rsid w:val="483C5547"/>
    <w:rsid w:val="4B3A4075"/>
    <w:rsid w:val="4C7910D6"/>
    <w:rsid w:val="4CE10FC8"/>
    <w:rsid w:val="51342B31"/>
    <w:rsid w:val="54D30A01"/>
    <w:rsid w:val="564231F4"/>
    <w:rsid w:val="5AF13B60"/>
    <w:rsid w:val="5C55127E"/>
    <w:rsid w:val="5C7F3351"/>
    <w:rsid w:val="61446232"/>
    <w:rsid w:val="633B489B"/>
    <w:rsid w:val="66A06E90"/>
    <w:rsid w:val="67890C82"/>
    <w:rsid w:val="69A031F7"/>
    <w:rsid w:val="6B5C79D9"/>
    <w:rsid w:val="6E1B21E5"/>
    <w:rsid w:val="6EC75599"/>
    <w:rsid w:val="6F012F05"/>
    <w:rsid w:val="72181E6B"/>
    <w:rsid w:val="7BC15B0A"/>
    <w:rsid w:val="7C264A87"/>
    <w:rsid w:val="7F7C5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ind w:left="111"/>
    </w:pPr>
    <w:rPr>
      <w:rFonts w:ascii="宋体" w:hAnsi="宋体" w:eastAsia="宋体" w:cs="宋体"/>
      <w:sz w:val="32"/>
      <w:szCs w:val="32"/>
      <w:lang w:val="zh-CN" w:eastAsia="zh-CN" w:bidi="zh-CN"/>
    </w:rPr>
  </w:style>
  <w:style w:type="paragraph" w:styleId="4">
    <w:name w:val="Date"/>
    <w:basedOn w:val="1"/>
    <w:next w:val="1"/>
    <w:link w:val="14"/>
    <w:semiHidden/>
    <w:unhideWhenUsed/>
    <w:qFormat/>
    <w:uiPriority w:val="99"/>
    <w:pPr>
      <w:ind w:left="100" w:leftChars="2500"/>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日期 字符"/>
    <w:basedOn w:val="9"/>
    <w:link w:val="4"/>
    <w:semiHidden/>
    <w:qFormat/>
    <w:uiPriority w:val="99"/>
    <w:rPr>
      <w:szCs w:val="24"/>
    </w:rPr>
  </w:style>
  <w:style w:type="character" w:customStyle="1" w:styleId="15">
    <w:name w:val="Unresolved Mention"/>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63F4D3-0493-4461-B23B-F40421429748}">
  <ds:schemaRefs/>
</ds:datastoreItem>
</file>

<file path=docProps/app.xml><?xml version="1.0" encoding="utf-8"?>
<Properties xmlns="http://schemas.openxmlformats.org/officeDocument/2006/extended-properties" xmlns:vt="http://schemas.openxmlformats.org/officeDocument/2006/docPropsVTypes">
  <Template>Normal</Template>
  <Pages>2</Pages>
  <Words>141</Words>
  <Characters>155</Characters>
  <Lines>10</Lines>
  <Paragraphs>2</Paragraphs>
  <TotalTime>0</TotalTime>
  <ScaleCrop>false</ScaleCrop>
  <LinksUpToDate>false</LinksUpToDate>
  <CharactersWithSpaces>165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2021-11-11T07:15:00Z</dcterms:created>
  <dc:creator>Administrator</dc:creator>
  <cp:lastModifiedBy>浪里飞花</cp:lastModifiedBy>
  <cp:lastPrinted>2021-11-15T01:40:00Z</cp:lastPrinted>
  <dcterms:modified xsi:type="dcterms:W3CDTF">2022-02-18T10:02:50Z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3560BA6D728B4962BE64C55B084743F0</vt:lpwstr>
  </property>
</Properties>
</file>