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宋体" w:hAnsi="宋体" w:eastAsia="宋体" w:cs="宋体"/>
          <w:b/>
          <w:bCs/>
          <w:color w:val="000000"/>
          <w:kern w:val="0"/>
          <w:sz w:val="43"/>
          <w:szCs w:val="43"/>
          <w:lang w:val="en-US" w:eastAsia="zh-CN" w:bidi="ar"/>
        </w:rPr>
        <w:t>中标结果公告</w:t>
      </w:r>
    </w:p>
    <w:p>
      <w:pPr>
        <w:keepNext w:val="0"/>
        <w:keepLines w:val="0"/>
        <w:widowControl/>
        <w:suppressLineNumbers w:val="0"/>
        <w:jc w:val="left"/>
        <w:rPr>
          <w:rFonts w:ascii="黑体" w:hAnsi="宋体" w:eastAsia="黑体" w:cs="黑体"/>
          <w:color w:val="000000"/>
          <w:kern w:val="0"/>
          <w:sz w:val="28"/>
          <w:szCs w:val="28"/>
          <w:lang w:val="en-US" w:eastAsia="zh-CN" w:bidi="ar"/>
        </w:rPr>
      </w:pPr>
    </w:p>
    <w:p>
      <w:pPr>
        <w:keepNext w:val="0"/>
        <w:keepLines w:val="0"/>
        <w:widowControl/>
        <w:suppressLineNumbers w:val="0"/>
        <w:jc w:val="left"/>
        <w:rPr>
          <w:rFonts w:ascii="黑体" w:hAnsi="宋体" w:eastAsia="黑体" w:cs="黑体"/>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vertAlign w:val="baseline"/>
        </w:rPr>
      </w:pPr>
      <w:r>
        <w:rPr>
          <w:rFonts w:ascii="黑体" w:hAnsi="宋体" w:eastAsia="黑体" w:cs="黑体"/>
          <w:color w:val="000000"/>
          <w:kern w:val="0"/>
          <w:sz w:val="28"/>
          <w:szCs w:val="28"/>
          <w:lang w:val="en-US" w:eastAsia="zh-CN" w:bidi="ar"/>
        </w:rPr>
        <w:t>一、项目编号</w:t>
      </w:r>
      <w:r>
        <w:rPr>
          <w:rFonts w:hint="eastAsia" w:ascii="黑体" w:hAnsi="宋体" w:eastAsia="黑体" w:cs="黑体"/>
          <w:color w:val="000000"/>
          <w:kern w:val="0"/>
          <w:sz w:val="28"/>
          <w:szCs w:val="28"/>
          <w:lang w:val="en-US" w:eastAsia="zh-CN" w:bidi="ar"/>
        </w:rPr>
        <w:t xml:space="preserve">：伊川政采招标(2021)0116-1号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pPr>
      <w:r>
        <w:rPr>
          <w:rFonts w:hint="eastAsia" w:ascii="黑体" w:hAnsi="宋体" w:eastAsia="黑体" w:cs="黑体"/>
          <w:color w:val="000000"/>
          <w:kern w:val="0"/>
          <w:sz w:val="28"/>
          <w:szCs w:val="28"/>
          <w:lang w:val="en-US" w:eastAsia="zh-CN" w:bidi="ar"/>
        </w:rPr>
        <w:t>二、项目名称：伊川县彭婆镇政府伊川县耐材园区生态休闲隔离带工程勘察设计服务项目</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pPr>
      <w:r>
        <w:rPr>
          <w:rFonts w:hint="eastAsia" w:ascii="黑体" w:hAnsi="宋体" w:eastAsia="黑体" w:cs="黑体"/>
          <w:color w:val="000000"/>
          <w:kern w:val="0"/>
          <w:sz w:val="28"/>
          <w:szCs w:val="28"/>
          <w:lang w:val="en-US" w:eastAsia="zh-CN" w:bidi="ar"/>
        </w:rPr>
        <w:t xml:space="preserve">三、中标（成交）信息 </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pPr>
      <w:r>
        <w:rPr>
          <w:rFonts w:ascii="仿宋" w:hAnsi="仿宋" w:eastAsia="仿宋" w:cs="仿宋"/>
          <w:color w:val="000000"/>
          <w:kern w:val="0"/>
          <w:sz w:val="28"/>
          <w:szCs w:val="28"/>
          <w:lang w:val="en-US" w:eastAsia="zh-CN" w:bidi="ar"/>
        </w:rPr>
        <w:t>供应商名称：</w:t>
      </w:r>
      <w:r>
        <w:rPr>
          <w:rFonts w:hint="eastAsia" w:ascii="仿宋" w:hAnsi="仿宋" w:eastAsia="仿宋" w:cs="仿宋"/>
          <w:color w:val="000000"/>
          <w:kern w:val="0"/>
          <w:sz w:val="28"/>
          <w:szCs w:val="28"/>
          <w:lang w:val="en-US" w:eastAsia="zh-CN" w:bidi="ar"/>
        </w:rPr>
        <w:t>洛阳市规划建筑设计研究院有限公司</w:t>
      </w:r>
      <w:r>
        <w:rPr>
          <w:rFonts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pPr>
      <w:r>
        <w:rPr>
          <w:rFonts w:hint="eastAsia" w:ascii="仿宋" w:hAnsi="仿宋" w:eastAsia="仿宋" w:cs="仿宋"/>
          <w:color w:val="000000"/>
          <w:kern w:val="0"/>
          <w:sz w:val="28"/>
          <w:szCs w:val="28"/>
          <w:lang w:val="en-US" w:eastAsia="zh-CN" w:bidi="ar"/>
        </w:rPr>
        <w:t xml:space="preserve">供应商地址：洛阳市洛龙区开元大道56号 </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pPr>
      <w:r>
        <w:rPr>
          <w:rFonts w:hint="eastAsia" w:ascii="仿宋" w:hAnsi="仿宋" w:eastAsia="仿宋" w:cs="仿宋"/>
          <w:color w:val="000000"/>
          <w:kern w:val="0"/>
          <w:sz w:val="28"/>
          <w:szCs w:val="28"/>
          <w:lang w:val="en-US" w:eastAsia="zh-CN" w:bidi="ar"/>
        </w:rPr>
        <w:t xml:space="preserve">中标金额：880000.00元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pPr>
      <w:r>
        <w:rPr>
          <w:rFonts w:hint="eastAsia" w:ascii="黑体" w:hAnsi="宋体" w:eastAsia="黑体" w:cs="黑体"/>
          <w:color w:val="000000"/>
          <w:kern w:val="0"/>
          <w:sz w:val="28"/>
          <w:szCs w:val="28"/>
          <w:lang w:val="en-US" w:eastAsia="zh-CN" w:bidi="ar"/>
        </w:rPr>
        <w:t xml:space="preserve">四、主要标的信息 </w:t>
      </w:r>
    </w:p>
    <w:tbl>
      <w:tblPr>
        <w:tblStyle w:val="5"/>
        <w:tblpPr w:leftFromText="180" w:rightFromText="180" w:vertAnchor="text" w:horzAnchor="page" w:tblpX="1994" w:tblpY="80"/>
        <w:tblOverlap w:val="never"/>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8"/>
        <w:gridCol w:w="1925"/>
        <w:gridCol w:w="1445"/>
        <w:gridCol w:w="214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928" w:type="dxa"/>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vertAlign w:val="baseline"/>
              </w:rPr>
            </w:pPr>
            <w:r>
              <w:rPr>
                <w:rFonts w:hint="eastAsia" w:ascii="仿宋" w:hAnsi="仿宋" w:eastAsia="仿宋" w:cs="仿宋"/>
                <w:color w:val="000000"/>
                <w:kern w:val="0"/>
                <w:sz w:val="28"/>
                <w:szCs w:val="28"/>
                <w:lang w:val="en-US" w:eastAsia="zh-CN" w:bidi="ar"/>
              </w:rPr>
              <w:t>名称</w:t>
            </w:r>
          </w:p>
        </w:tc>
        <w:tc>
          <w:tcPr>
            <w:tcW w:w="1925" w:type="dxa"/>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vertAlign w:val="baseline"/>
              </w:rPr>
            </w:pPr>
            <w:r>
              <w:rPr>
                <w:rFonts w:hint="eastAsia" w:ascii="仿宋" w:hAnsi="仿宋" w:eastAsia="仿宋" w:cs="仿宋"/>
                <w:color w:val="000000"/>
                <w:kern w:val="0"/>
                <w:sz w:val="28"/>
                <w:szCs w:val="28"/>
                <w:lang w:val="en-US" w:eastAsia="zh-CN" w:bidi="ar"/>
              </w:rPr>
              <w:t>服务范围</w:t>
            </w:r>
          </w:p>
        </w:tc>
        <w:tc>
          <w:tcPr>
            <w:tcW w:w="1445" w:type="dxa"/>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vertAlign w:val="baseline"/>
              </w:rPr>
            </w:pPr>
            <w:r>
              <w:rPr>
                <w:rFonts w:hint="eastAsia" w:ascii="仿宋" w:hAnsi="仿宋" w:eastAsia="仿宋" w:cs="仿宋"/>
                <w:color w:val="000000"/>
                <w:kern w:val="0"/>
                <w:sz w:val="28"/>
                <w:szCs w:val="28"/>
                <w:lang w:val="en-US" w:eastAsia="zh-CN" w:bidi="ar"/>
              </w:rPr>
              <w:t>服务要求</w:t>
            </w:r>
          </w:p>
        </w:tc>
        <w:tc>
          <w:tcPr>
            <w:tcW w:w="2140" w:type="dxa"/>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vertAlign w:val="baseline"/>
              </w:rPr>
            </w:pPr>
            <w:r>
              <w:rPr>
                <w:rFonts w:hint="eastAsia" w:ascii="仿宋" w:hAnsi="仿宋" w:eastAsia="仿宋" w:cs="仿宋"/>
                <w:color w:val="000000"/>
                <w:kern w:val="0"/>
                <w:sz w:val="28"/>
                <w:szCs w:val="28"/>
                <w:lang w:val="en-US" w:eastAsia="zh-CN" w:bidi="ar"/>
              </w:rPr>
              <w:t>服务时间</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vertAlign w:val="baseline"/>
              </w:rPr>
            </w:pPr>
            <w:r>
              <w:rPr>
                <w:rFonts w:hint="eastAsia" w:ascii="仿宋" w:hAnsi="仿宋" w:eastAsia="仿宋" w:cs="仿宋"/>
                <w:color w:val="000000"/>
                <w:kern w:val="0"/>
                <w:sz w:val="28"/>
                <w:szCs w:val="28"/>
                <w:lang w:val="en-US" w:eastAsia="zh-CN" w:bidi="ar"/>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1928"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伊川县彭婆镇政府伊川县耐材园区生态休闲隔离带工程勘察设计服务项目</w:t>
            </w:r>
          </w:p>
        </w:tc>
        <w:tc>
          <w:tcPr>
            <w:tcW w:w="1925"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主要为本项目所需的地质勘察及方案设计、初步设计、施工图设计、相关及后续服务等。</w:t>
            </w:r>
          </w:p>
        </w:tc>
        <w:tc>
          <w:tcPr>
            <w:tcW w:w="1445"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详见招标文件</w:t>
            </w:r>
          </w:p>
        </w:tc>
        <w:tc>
          <w:tcPr>
            <w:tcW w:w="214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合同签订之日起10日历天内提交勘察、设计文件，施工期设计服务至工程竣工验收完成。</w:t>
            </w:r>
          </w:p>
        </w:tc>
        <w:tc>
          <w:tcPr>
            <w:tcW w:w="1860" w:type="dxa"/>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符合国家、行业、地方政府有关法律法规及技术规范要求。</w:t>
            </w:r>
          </w:p>
        </w:tc>
      </w:tr>
    </w:tbl>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pPr>
      <w:r>
        <w:rPr>
          <w:rFonts w:hint="eastAsia" w:ascii="黑体" w:hAnsi="宋体" w:eastAsia="黑体" w:cs="黑体"/>
          <w:color w:val="000000"/>
          <w:kern w:val="0"/>
          <w:sz w:val="28"/>
          <w:szCs w:val="28"/>
          <w:lang w:val="en-US" w:eastAsia="zh-CN" w:bidi="ar"/>
        </w:rPr>
        <w:t xml:space="preserve">五、评审专家名单：赵敏,陈冬峰,梁爱英,岳玲玲,张亚谱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pPr>
      <w:r>
        <w:rPr>
          <w:rFonts w:hint="eastAsia" w:ascii="黑体" w:hAnsi="宋体" w:eastAsia="黑体" w:cs="黑体"/>
          <w:color w:val="000000"/>
          <w:kern w:val="0"/>
          <w:sz w:val="28"/>
          <w:szCs w:val="28"/>
          <w:lang w:val="en-US" w:eastAsia="zh-CN" w:bidi="ar"/>
        </w:rPr>
        <w:t xml:space="preserve">六、代理服务收费标准及金额：参照原国家计委计价格[2002]1980 号文件、发改办价格规定[2003]857 号文件、发改价格[2011]534 号文件规定的收费标准。13200元。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宋体" w:eastAsia="黑体" w:cs="黑体"/>
          <w:color w:val="000000"/>
          <w:kern w:val="0"/>
          <w:sz w:val="28"/>
          <w:szCs w:val="28"/>
          <w:lang w:val="en-US" w:eastAsia="zh-CN" w:bidi="ar"/>
        </w:rPr>
      </w:pPr>
      <w:r>
        <w:rPr>
          <w:rFonts w:hint="eastAsia" w:ascii="黑体" w:hAnsi="宋体" w:eastAsia="黑体" w:cs="黑体"/>
          <w:color w:val="000000"/>
          <w:kern w:val="0"/>
          <w:sz w:val="28"/>
          <w:szCs w:val="28"/>
          <w:lang w:val="en-US" w:eastAsia="zh-CN" w:bidi="ar"/>
        </w:rPr>
        <w:t>七、结果</w:t>
      </w:r>
      <w:r>
        <w:rPr>
          <w:rFonts w:hint="eastAsia" w:ascii="黑体" w:hAnsi="宋体" w:eastAsia="黑体" w:cs="黑体"/>
          <w:color w:val="000000"/>
          <w:kern w:val="0"/>
          <w:sz w:val="28"/>
          <w:szCs w:val="28"/>
          <w:lang w:val="en-US" w:eastAsia="zh-CN" w:bidi="ar"/>
        </w:rPr>
        <w:t>公告媒介及</w:t>
      </w:r>
      <w:r>
        <w:rPr>
          <w:rFonts w:hint="eastAsia" w:ascii="黑体" w:hAnsi="宋体" w:eastAsia="黑体" w:cs="黑体"/>
          <w:color w:val="000000"/>
          <w:kern w:val="0"/>
          <w:sz w:val="28"/>
          <w:szCs w:val="28"/>
          <w:lang w:val="en-US" w:eastAsia="zh-CN" w:bidi="ar"/>
        </w:rPr>
        <w:t>公告期限</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2" w:firstLineChars="200"/>
        <w:jc w:val="left"/>
        <w:textAlignment w:val="auto"/>
      </w:pPr>
      <w:r>
        <w:rPr>
          <w:rFonts w:hint="eastAsia" w:ascii="仿宋" w:hAnsi="仿宋" w:eastAsia="仿宋" w:cs="仿宋"/>
          <w:color w:val="000000"/>
          <w:kern w:val="0"/>
          <w:sz w:val="28"/>
          <w:szCs w:val="28"/>
          <w:lang w:val="en-US" w:eastAsia="zh-CN" w:bidi="ar"/>
        </w:rPr>
        <w:t xml:space="preserve">本次结果公告同时在《中国招标投标公共服务平台》、《河南省电子招标投标公共服务平台》、《河南省政府采购网》、《洛阳市公共资源交易中心网》上发布。自本公告发布之日起 1 个工作日。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宋体" w:eastAsia="黑体" w:cs="黑体"/>
          <w:color w:val="000000"/>
          <w:kern w:val="0"/>
          <w:sz w:val="28"/>
          <w:szCs w:val="28"/>
          <w:lang w:val="en-US" w:eastAsia="zh-CN" w:bidi="ar"/>
        </w:rPr>
      </w:pPr>
      <w:r>
        <w:rPr>
          <w:rFonts w:hint="eastAsia" w:ascii="黑体" w:hAnsi="宋体" w:eastAsia="黑体" w:cs="黑体"/>
          <w:color w:val="000000"/>
          <w:kern w:val="0"/>
          <w:sz w:val="28"/>
          <w:szCs w:val="28"/>
          <w:lang w:val="en-US" w:eastAsia="zh-CN" w:bidi="ar"/>
        </w:rPr>
        <w:t xml:space="preserve">八、其他补充事宜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2" w:firstLineChars="200"/>
        <w:jc w:val="left"/>
        <w:textAlignment w:val="auto"/>
        <w:rPr>
          <w:rFonts w:hint="eastAsia" w:ascii="黑体" w:hAnsi="宋体" w:eastAsia="黑体" w:cs="黑体"/>
          <w:color w:val="000000"/>
          <w:kern w:val="0"/>
          <w:sz w:val="28"/>
          <w:szCs w:val="28"/>
          <w:lang w:val="en-US" w:eastAsia="zh-CN" w:bidi="ar"/>
        </w:rPr>
      </w:pPr>
      <w:r>
        <w:rPr>
          <w:rFonts w:hint="eastAsia" w:ascii="黑体" w:hAnsi="宋体" w:eastAsia="黑体" w:cs="黑体"/>
          <w:color w:val="000000"/>
          <w:kern w:val="0"/>
          <w:sz w:val="28"/>
          <w:szCs w:val="28"/>
          <w:lang w:val="en-US" w:eastAsia="zh-CN" w:bidi="ar"/>
        </w:rPr>
        <w:t>无</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pPr>
      <w:r>
        <w:rPr>
          <w:rFonts w:hint="eastAsia" w:ascii="黑体" w:hAnsi="宋体" w:eastAsia="黑体" w:cs="黑体"/>
          <w:color w:val="000000"/>
          <w:kern w:val="0"/>
          <w:sz w:val="28"/>
          <w:szCs w:val="28"/>
          <w:lang w:val="en-US" w:eastAsia="zh-CN" w:bidi="ar"/>
        </w:rPr>
        <w:t>九、凡对本次公告内容提出询问，请按以下方式联系。</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1.采购人信息</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名称：伊川县彭婆镇人民政府</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地址：洛阳市伊川县彭婆镇</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联系人：薛女士</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联系方式：0379-68562003</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2.采购代理机构信息（如有）</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名称：洛阳市德正工程管理有限公司</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地址：洛阳市洛龙区通济街77号4楼005号</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联系人：尚女士</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联系方式：0379-65977768</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3.项目联系方式</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项目联系人：尚女士</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37" w:firstLineChars="227"/>
        <w:jc w:val="left"/>
        <w:textAlignment w:val="auto"/>
      </w:pPr>
      <w:r>
        <w:rPr>
          <w:rFonts w:hint="eastAsia" w:ascii="仿宋" w:hAnsi="仿宋" w:eastAsia="仿宋" w:cs="仿宋"/>
          <w:color w:val="000000"/>
          <w:kern w:val="0"/>
          <w:sz w:val="28"/>
          <w:szCs w:val="28"/>
          <w:lang w:val="en-US" w:eastAsia="zh-CN" w:bidi="ar"/>
        </w:rPr>
        <w:t xml:space="preserve">联系方式：0379-65977768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80" w:lineRule="exact"/>
        <w:jc w:val="left"/>
        <w:textAlignment w:val="auto"/>
        <w:rPr>
          <w:rFonts w:hint="eastAsia" w:ascii="黑体" w:hAnsi="宋体" w:eastAsia="黑体" w:cs="黑体"/>
          <w:color w:val="000000"/>
          <w:kern w:val="0"/>
          <w:sz w:val="28"/>
          <w:szCs w:val="28"/>
          <w:lang w:val="en-US" w:eastAsia="zh-CN" w:bidi="ar"/>
        </w:rPr>
      </w:pPr>
      <w:r>
        <w:rPr>
          <w:rFonts w:hint="eastAsia" w:ascii="黑体" w:hAnsi="宋体" w:eastAsia="黑体" w:cs="黑体"/>
          <w:color w:val="000000"/>
          <w:kern w:val="0"/>
          <w:sz w:val="28"/>
          <w:szCs w:val="28"/>
          <w:lang w:val="en-US" w:eastAsia="zh-CN" w:bidi="ar"/>
        </w:rPr>
        <w:t>附件</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80" w:lineRule="exact"/>
        <w:jc w:val="left"/>
        <w:textAlignment w:val="auto"/>
        <w:rPr>
          <w:rFonts w:hint="eastAsia" w:ascii="黑体" w:hAnsi="宋体" w:eastAsia="黑体" w:cs="黑体"/>
          <w:color w:val="000000"/>
          <w:kern w:val="0"/>
          <w:sz w:val="28"/>
          <w:szCs w:val="28"/>
          <w:lang w:val="en-US" w:eastAsia="zh-CN" w:bidi="ar"/>
        </w:rPr>
      </w:pPr>
      <w:r>
        <w:rPr>
          <w:rFonts w:hint="eastAsia" w:ascii="黑体" w:hAnsi="宋体" w:eastAsia="黑体" w:cs="黑体"/>
          <w:color w:val="000000"/>
          <w:kern w:val="0"/>
          <w:sz w:val="28"/>
          <w:szCs w:val="28"/>
          <w:lang w:val="en-US" w:eastAsia="zh-CN" w:bidi="ar"/>
        </w:rPr>
        <w:t>中小微企业声明函</w:t>
      </w:r>
    </w:p>
    <w:p>
      <w:pPr>
        <w:keepNext w:val="0"/>
        <w:keepLines w:val="0"/>
        <w:pageBreakBefore w:val="0"/>
        <w:widowControl/>
        <w:numPr>
          <w:numId w:val="0"/>
        </w:numPr>
        <w:suppressLineNumbers w:val="0"/>
        <w:kinsoku/>
        <w:wordWrap/>
        <w:overflowPunct/>
        <w:topLinePunct w:val="0"/>
        <w:autoSpaceDE/>
        <w:autoSpaceDN/>
        <w:bidi w:val="0"/>
        <w:adjustRightInd/>
        <w:snapToGrid/>
        <w:spacing w:line="580" w:lineRule="exact"/>
        <w:jc w:val="left"/>
        <w:textAlignment w:val="auto"/>
        <w:rPr>
          <w:rFonts w:hint="default" w:ascii="黑体" w:hAnsi="宋体" w:eastAsia="黑体" w:cs="黑体"/>
          <w:color w:val="000000"/>
          <w:kern w:val="0"/>
          <w:sz w:val="28"/>
          <w:szCs w:val="28"/>
          <w:lang w:val="en-US" w:eastAsia="zh-CN" w:bidi="ar"/>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580" w:lineRule="exact"/>
        <w:jc w:val="left"/>
        <w:textAlignment w:val="auto"/>
        <w:rPr>
          <w:rFonts w:hint="default" w:ascii="黑体" w:hAnsi="宋体" w:eastAsia="黑体" w:cs="黑体"/>
          <w:color w:val="000000"/>
          <w:kern w:val="0"/>
          <w:sz w:val="28"/>
          <w:szCs w:val="28"/>
          <w:lang w:val="en-US" w:eastAsia="zh-CN" w:bidi="ar"/>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580" w:lineRule="exact"/>
        <w:jc w:val="left"/>
        <w:textAlignment w:val="auto"/>
        <w:rPr>
          <w:rFonts w:hint="default" w:ascii="黑体" w:hAnsi="宋体" w:eastAsia="黑体" w:cs="黑体"/>
          <w:color w:val="000000"/>
          <w:kern w:val="0"/>
          <w:sz w:val="28"/>
          <w:szCs w:val="28"/>
          <w:lang w:val="en-US" w:eastAsia="zh-CN" w:bidi="ar"/>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580" w:lineRule="exact"/>
        <w:jc w:val="left"/>
        <w:textAlignment w:val="auto"/>
        <w:rPr>
          <w:rFonts w:hint="default" w:ascii="黑体" w:hAnsi="宋体" w:eastAsia="黑体" w:cs="黑体"/>
          <w:color w:val="000000"/>
          <w:kern w:val="0"/>
          <w:sz w:val="28"/>
          <w:szCs w:val="28"/>
          <w:lang w:val="en-US" w:eastAsia="zh-CN" w:bidi="ar"/>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580" w:lineRule="exact"/>
        <w:jc w:val="left"/>
        <w:textAlignment w:val="auto"/>
        <w:rPr>
          <w:rFonts w:hint="default" w:ascii="黑体" w:hAnsi="宋体" w:eastAsia="黑体" w:cs="黑体"/>
          <w:color w:val="000000"/>
          <w:kern w:val="0"/>
          <w:sz w:val="28"/>
          <w:szCs w:val="28"/>
          <w:lang w:val="en-US" w:eastAsia="zh-CN" w:bidi="ar"/>
        </w:rPr>
      </w:pPr>
      <w:r>
        <w:drawing>
          <wp:anchor distT="0" distB="0" distL="114300" distR="114300" simplePos="0" relativeHeight="251659264" behindDoc="0" locked="0" layoutInCell="1" allowOverlap="1">
            <wp:simplePos x="0" y="0"/>
            <wp:positionH relativeFrom="column">
              <wp:posOffset>-31750</wp:posOffset>
            </wp:positionH>
            <wp:positionV relativeFrom="paragraph">
              <wp:posOffset>27940</wp:posOffset>
            </wp:positionV>
            <wp:extent cx="5362575" cy="7534275"/>
            <wp:effectExtent l="0" t="0" r="952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362575" cy="7534275"/>
                    </a:xfrm>
                    <a:prstGeom prst="rect">
                      <a:avLst/>
                    </a:prstGeom>
                    <a:noFill/>
                    <a:ln>
                      <a:noFill/>
                    </a:ln>
                  </pic:spPr>
                </pic:pic>
              </a:graphicData>
            </a:graphic>
          </wp:anchor>
        </w:drawing>
      </w:r>
    </w:p>
    <w:p>
      <w:pPr>
        <w:keepNext w:val="0"/>
        <w:keepLines w:val="0"/>
        <w:pageBreakBefore w:val="0"/>
        <w:widowControl/>
        <w:numPr>
          <w:numId w:val="0"/>
        </w:numPr>
        <w:suppressLineNumbers w:val="0"/>
        <w:kinsoku/>
        <w:wordWrap/>
        <w:overflowPunct/>
        <w:topLinePunct w:val="0"/>
        <w:autoSpaceDE/>
        <w:autoSpaceDN/>
        <w:bidi w:val="0"/>
        <w:adjustRightInd/>
        <w:snapToGrid/>
        <w:spacing w:line="580" w:lineRule="exact"/>
        <w:jc w:val="left"/>
        <w:textAlignment w:val="auto"/>
        <w:rPr>
          <w:rFonts w:hint="default" w:ascii="黑体" w:hAnsi="宋体" w:eastAsia="黑体" w:cs="黑体"/>
          <w:color w:val="000000"/>
          <w:kern w:val="0"/>
          <w:sz w:val="28"/>
          <w:szCs w:val="28"/>
          <w:lang w:val="en-US" w:eastAsia="zh-CN" w:bidi="ar"/>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580" w:lineRule="exact"/>
        <w:jc w:val="left"/>
        <w:textAlignment w:val="auto"/>
        <w:rPr>
          <w:rFonts w:hint="default" w:ascii="黑体" w:hAnsi="宋体" w:eastAsia="黑体" w:cs="黑体"/>
          <w:color w:val="000000"/>
          <w:kern w:val="0"/>
          <w:sz w:val="28"/>
          <w:szCs w:val="28"/>
          <w:lang w:val="en-US" w:eastAsia="zh-CN" w:bidi="ar"/>
        </w:rPr>
      </w:pPr>
    </w:p>
    <w:p>
      <w:pPr>
        <w:keepNext w:val="0"/>
        <w:keepLines w:val="0"/>
        <w:pageBreakBefore w:val="0"/>
        <w:kinsoku/>
        <w:wordWrap/>
        <w:overflowPunct/>
        <w:topLinePunct w:val="0"/>
        <w:autoSpaceDE/>
        <w:autoSpaceDN/>
        <w:bidi w:val="0"/>
        <w:adjustRightInd/>
        <w:snapToGrid/>
        <w:spacing w:line="580" w:lineRule="exact"/>
        <w:textAlignment w:val="auto"/>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numPr>
          <w:ilvl w:val="0"/>
          <w:numId w:val="2"/>
        </w:numPr>
        <w:bidi w:val="0"/>
        <w:ind w:left="0" w:leftChars="0" w:firstLine="0" w:firstLineChars="0"/>
        <w:jc w:val="left"/>
        <w:rPr>
          <w:rFonts w:hint="eastAsia"/>
          <w:sz w:val="28"/>
          <w:szCs w:val="36"/>
          <w:lang w:val="en-US" w:eastAsia="zh-CN"/>
        </w:rPr>
      </w:pPr>
      <w:r>
        <w:rPr>
          <w:rFonts w:hint="eastAsia"/>
          <w:sz w:val="28"/>
          <w:szCs w:val="36"/>
          <w:lang w:val="en-US" w:eastAsia="zh-CN"/>
        </w:rPr>
        <w:t>被推荐供应商名单和推荐理由</w:t>
      </w:r>
    </w:p>
    <w:p>
      <w:pPr>
        <w:widowControl w:val="0"/>
        <w:numPr>
          <w:numId w:val="0"/>
        </w:numPr>
        <w:bidi w:val="0"/>
        <w:jc w:val="left"/>
        <w:rPr>
          <w:rFonts w:hint="default"/>
          <w:sz w:val="28"/>
          <w:szCs w:val="36"/>
          <w:lang w:val="en-US" w:eastAsia="zh-CN"/>
        </w:rPr>
      </w:pPr>
    </w:p>
    <w:p>
      <w:pPr>
        <w:widowControl w:val="0"/>
        <w:numPr>
          <w:numId w:val="0"/>
        </w:numPr>
        <w:bidi w:val="0"/>
        <w:ind w:firstLine="1960" w:firstLineChars="700"/>
        <w:jc w:val="left"/>
        <w:rPr>
          <w:rFonts w:hint="default"/>
          <w:sz w:val="28"/>
          <w:szCs w:val="36"/>
          <w:lang w:val="en-US" w:eastAsia="zh-CN"/>
        </w:rPr>
      </w:pPr>
      <w:bookmarkStart w:id="0" w:name="_GoBack"/>
      <w:bookmarkEnd w:id="0"/>
      <w:r>
        <w:rPr>
          <w:rFonts w:hint="default"/>
          <w:sz w:val="28"/>
          <w:szCs w:val="36"/>
          <w:lang w:val="en-US" w:eastAsia="zh-CN"/>
        </w:rPr>
        <w:t>洛阳市规划建筑设计研究院有限公司</w:t>
      </w:r>
    </w:p>
    <w:p>
      <w:pPr>
        <w:widowControl w:val="0"/>
        <w:numPr>
          <w:numId w:val="0"/>
        </w:numPr>
        <w:bidi w:val="0"/>
        <w:jc w:val="left"/>
        <w:rPr>
          <w:rFonts w:hint="default"/>
          <w:lang w:val="en-US" w:eastAsia="zh-CN"/>
        </w:rPr>
      </w:pPr>
    </w:p>
    <w:p>
      <w:pPr>
        <w:widowControl w:val="0"/>
        <w:numPr>
          <w:numId w:val="0"/>
        </w:numPr>
        <w:bidi w:val="0"/>
        <w:jc w:val="left"/>
        <w:rPr>
          <w:rFonts w:hint="default"/>
          <w:lang w:val="en-US" w:eastAsia="zh-CN"/>
        </w:rPr>
      </w:pPr>
    </w:p>
    <w:p>
      <w:pPr>
        <w:widowControl w:val="0"/>
        <w:numPr>
          <w:numId w:val="0"/>
        </w:numPr>
        <w:bidi w:val="0"/>
        <w:jc w:val="left"/>
        <w:rPr>
          <w:rFonts w:hint="default"/>
          <w:lang w:val="en-US" w:eastAsia="zh-CN"/>
        </w:rPr>
      </w:pPr>
    </w:p>
    <w:p>
      <w:pPr>
        <w:widowControl w:val="0"/>
        <w:numPr>
          <w:numId w:val="0"/>
        </w:numPr>
        <w:bidi w:val="0"/>
        <w:jc w:val="left"/>
        <w:rPr>
          <w:rFonts w:hint="default"/>
          <w:lang w:val="en-US" w:eastAsia="zh-CN"/>
        </w:rPr>
      </w:pPr>
    </w:p>
    <w:p>
      <w:pPr>
        <w:widowControl w:val="0"/>
        <w:numPr>
          <w:numId w:val="0"/>
        </w:numPr>
        <w:bidi w:val="0"/>
        <w:jc w:val="left"/>
      </w:pPr>
      <w:r>
        <w:drawing>
          <wp:inline distT="0" distB="0" distL="114300" distR="114300">
            <wp:extent cx="5693410" cy="17843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693410" cy="1784350"/>
                    </a:xfrm>
                    <a:prstGeom prst="rect">
                      <a:avLst/>
                    </a:prstGeom>
                    <a:noFill/>
                    <a:ln>
                      <a:noFill/>
                    </a:ln>
                  </pic:spPr>
                </pic:pic>
              </a:graphicData>
            </a:graphic>
          </wp:inline>
        </w:drawing>
      </w:r>
    </w:p>
    <w:p>
      <w:pPr>
        <w:widowControl w:val="0"/>
        <w:numPr>
          <w:numId w:val="0"/>
        </w:numPr>
        <w:bidi w:val="0"/>
        <w:jc w:val="left"/>
      </w:pPr>
    </w:p>
    <w:p>
      <w:pPr>
        <w:widowControl w:val="0"/>
        <w:numPr>
          <w:numId w:val="0"/>
        </w:numPr>
        <w:bidi w:val="0"/>
        <w:jc w:val="left"/>
        <w:rPr>
          <w:rFonts w:hint="default"/>
          <w:lang w:val="en-US" w:eastAsia="zh-CN"/>
        </w:rPr>
      </w:pPr>
      <w:r>
        <w:drawing>
          <wp:inline distT="0" distB="0" distL="114300" distR="114300">
            <wp:extent cx="5591175" cy="22479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591175" cy="2247900"/>
                    </a:xfrm>
                    <a:prstGeom prst="rect">
                      <a:avLst/>
                    </a:prstGeom>
                    <a:noFill/>
                    <a:ln>
                      <a:noFill/>
                    </a:ln>
                  </pic:spPr>
                </pic:pic>
              </a:graphicData>
            </a:graphic>
          </wp:inline>
        </w:drawing>
      </w:r>
    </w:p>
    <w:sectPr>
      <w:pgSz w:w="11910" w:h="16850"/>
      <w:pgMar w:top="1134" w:right="1134" w:bottom="1134" w:left="1800" w:header="851" w:footer="992" w:gutter="0"/>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2FAB7"/>
    <w:multiLevelType w:val="singleLevel"/>
    <w:tmpl w:val="85A2FAB7"/>
    <w:lvl w:ilvl="0" w:tentative="0">
      <w:start w:val="1"/>
      <w:numFmt w:val="decimal"/>
      <w:suff w:val="nothing"/>
      <w:lvlText w:val="%1、"/>
      <w:lvlJc w:val="left"/>
    </w:lvl>
  </w:abstractNum>
  <w:abstractNum w:abstractNumId="1">
    <w:nsid w:val="89204D22"/>
    <w:multiLevelType w:val="singleLevel"/>
    <w:tmpl w:val="89204D22"/>
    <w:lvl w:ilvl="0" w:tentative="0">
      <w:start w:val="10"/>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93ADE"/>
    <w:rsid w:val="2ACF7361"/>
    <w:rsid w:val="33993ADE"/>
    <w:rsid w:val="78870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2021-08-24T08:13:00Z</dcterms:created>
  <dc:creator>雪人 </dc:creator>
  <cp:lastModifiedBy>雪人 </cp:lastModifiedBy>
  <dcterms:modified xsi:type="dcterms:W3CDTF">2021-08-24T09:04:29Z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E145B4256CDC46DCA573391303252E5F</vt:lpwstr>
  </property>
</Properties>
</file>