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Style w:val="7"/>
          <w:rFonts w:hint="default" w:ascii="黑体" w:hAnsi="黑体" w:eastAsia="黑体"/>
          <w:color w:val="000000"/>
          <w:kern w:val="2"/>
          <w:sz w:val="32"/>
          <w:szCs w:val="32"/>
          <w:lang w:val="en-US" w:eastAsia="zh-CN" w:bidi="ar-SA"/>
        </w:rPr>
      </w:pPr>
      <w:r>
        <w:rPr>
          <w:rStyle w:val="7"/>
          <w:rFonts w:hint="eastAsia" w:ascii="黑体" w:hAnsi="黑体" w:eastAsia="黑体"/>
          <w:color w:val="000000"/>
          <w:kern w:val="2"/>
          <w:sz w:val="32"/>
          <w:szCs w:val="32"/>
          <w:lang w:val="en-US" w:eastAsia="zh-CN" w:bidi="ar-SA"/>
        </w:rPr>
        <w:t>附件1</w:t>
      </w:r>
    </w:p>
    <w:p>
      <w:pPr>
        <w:widowControl/>
        <w:jc w:val="left"/>
        <w:textAlignment w:val="baseline"/>
        <w:rPr>
          <w:rStyle w:val="7"/>
          <w:rFonts w:ascii="黑体" w:hAnsi="宋体" w:eastAsia="黑体"/>
          <w:color w:val="000000"/>
          <w:kern w:val="0"/>
          <w:sz w:val="28"/>
          <w:szCs w:val="28"/>
          <w:lang w:val="en-US" w:eastAsia="zh-CN" w:bidi="ar-SA"/>
        </w:rPr>
      </w:pPr>
    </w:p>
    <w:p>
      <w:pPr>
        <w:widowControl/>
        <w:jc w:val="left"/>
        <w:textAlignment w:val="baseline"/>
        <w:rPr>
          <w:rStyle w:val="7"/>
          <w:rFonts w:ascii="黑体" w:hAnsi="宋体" w:eastAsia="黑体"/>
          <w:color w:val="000000"/>
          <w:kern w:val="0"/>
          <w:sz w:val="28"/>
          <w:szCs w:val="28"/>
          <w:lang w:val="en-US" w:eastAsia="zh-CN" w:bidi="ar-SA"/>
        </w:rPr>
      </w:pPr>
    </w:p>
    <w:p>
      <w:pPr>
        <w:widowControl/>
        <w:jc w:val="left"/>
        <w:textAlignment w:val="baseline"/>
        <w:rPr>
          <w:rStyle w:val="7"/>
          <w:rFonts w:ascii="黑体" w:hAnsi="宋体" w:eastAsia="黑体"/>
          <w:color w:val="000000"/>
          <w:kern w:val="0"/>
          <w:sz w:val="28"/>
          <w:szCs w:val="28"/>
          <w:lang w:val="en-US" w:eastAsia="zh-CN" w:bidi="ar-SA"/>
        </w:rPr>
      </w:pPr>
    </w:p>
    <w:p>
      <w:pPr>
        <w:widowControl/>
        <w:jc w:val="left"/>
        <w:textAlignment w:val="baseline"/>
        <w:rPr>
          <w:rStyle w:val="7"/>
          <w:rFonts w:ascii="黑体" w:hAnsi="宋体" w:eastAsia="黑体"/>
          <w:color w:val="000000"/>
          <w:kern w:val="0"/>
          <w:sz w:val="28"/>
          <w:szCs w:val="28"/>
          <w:lang w:val="en-US" w:eastAsia="zh-CN" w:bidi="ar-SA"/>
        </w:rPr>
      </w:pPr>
    </w:p>
    <w:p>
      <w:pPr>
        <w:widowControl/>
        <w:jc w:val="left"/>
        <w:textAlignment w:val="baseline"/>
        <w:rPr>
          <w:rStyle w:val="7"/>
          <w:rFonts w:ascii="黑体" w:hAnsi="宋体" w:eastAsia="黑体"/>
          <w:color w:val="000000"/>
          <w:kern w:val="0"/>
          <w:sz w:val="28"/>
          <w:szCs w:val="28"/>
          <w:lang w:val="en-US" w:eastAsia="zh-CN" w:bidi="ar-SA"/>
        </w:rPr>
      </w:pPr>
    </w:p>
    <w:p>
      <w:pPr>
        <w:jc w:val="center"/>
        <w:textAlignment w:val="baseline"/>
        <w:rPr>
          <w:rStyle w:val="7"/>
          <w:rFonts w:ascii="黑体" w:hAnsi="黑体" w:eastAsia="黑体"/>
          <w:color w:val="000000"/>
          <w:kern w:val="2"/>
          <w:sz w:val="52"/>
          <w:szCs w:val="52"/>
          <w:lang w:val="en-US" w:eastAsia="zh-CN" w:bidi="ar-SA"/>
        </w:rPr>
      </w:pPr>
      <w:r>
        <w:rPr>
          <w:rStyle w:val="7"/>
          <w:rFonts w:ascii="黑体" w:hAnsi="黑体" w:eastAsia="黑体"/>
          <w:color w:val="000000"/>
          <w:kern w:val="2"/>
          <w:sz w:val="52"/>
          <w:szCs w:val="52"/>
          <w:lang w:val="en-US" w:eastAsia="zh-CN" w:bidi="ar-SA"/>
        </w:rPr>
        <w:t>伊川县人民检察院</w:t>
      </w:r>
    </w:p>
    <w:p>
      <w:pPr>
        <w:jc w:val="center"/>
        <w:textAlignment w:val="baseline"/>
        <w:rPr>
          <w:rStyle w:val="7"/>
          <w:rFonts w:ascii="黑体" w:hAnsi="黑体" w:eastAsia="黑体"/>
          <w:color w:val="000000"/>
          <w:kern w:val="2"/>
          <w:sz w:val="52"/>
          <w:szCs w:val="52"/>
          <w:lang w:val="en-US" w:eastAsia="zh-CN" w:bidi="ar-SA"/>
        </w:rPr>
      </w:pPr>
      <w:r>
        <w:rPr>
          <w:rStyle w:val="7"/>
          <w:rFonts w:ascii="黑体" w:hAnsi="黑体" w:eastAsia="黑体"/>
          <w:color w:val="000000"/>
          <w:kern w:val="2"/>
          <w:sz w:val="52"/>
          <w:szCs w:val="52"/>
          <w:lang w:val="en-US" w:eastAsia="zh-CN" w:bidi="ar-SA"/>
        </w:rPr>
        <w:t>2019年度部门预算</w:t>
      </w:r>
    </w:p>
    <w:p>
      <w:pPr>
        <w:jc w:val="center"/>
        <w:textAlignment w:val="baseline"/>
        <w:rPr>
          <w:rStyle w:val="7"/>
          <w:rFonts w:ascii="黑体" w:hAnsi="黑体" w:eastAsia="黑体"/>
          <w:color w:val="000000"/>
          <w:kern w:val="2"/>
          <w:sz w:val="52"/>
          <w:szCs w:val="52"/>
          <w:lang w:val="en-US" w:eastAsia="zh-CN" w:bidi="ar-SA"/>
        </w:rPr>
      </w:pPr>
    </w:p>
    <w:p>
      <w:pPr>
        <w:jc w:val="center"/>
        <w:textAlignment w:val="baseline"/>
        <w:rPr>
          <w:rStyle w:val="7"/>
          <w:rFonts w:ascii="黑体" w:hAnsi="黑体" w:eastAsia="黑体"/>
          <w:color w:val="000000"/>
          <w:kern w:val="2"/>
          <w:sz w:val="52"/>
          <w:szCs w:val="52"/>
          <w:lang w:val="en-US" w:eastAsia="zh-CN" w:bidi="ar-SA"/>
        </w:rPr>
      </w:pPr>
    </w:p>
    <w:p>
      <w:pPr>
        <w:jc w:val="center"/>
        <w:textAlignment w:val="baseline"/>
        <w:rPr>
          <w:rStyle w:val="7"/>
          <w:rFonts w:ascii="黑体" w:hAnsi="黑体" w:eastAsia="黑体"/>
          <w:color w:val="000000"/>
          <w:kern w:val="2"/>
          <w:sz w:val="52"/>
          <w:szCs w:val="52"/>
          <w:lang w:val="en-US" w:eastAsia="zh-CN" w:bidi="ar-SA"/>
        </w:rPr>
      </w:pPr>
    </w:p>
    <w:p>
      <w:pPr>
        <w:jc w:val="center"/>
        <w:textAlignment w:val="baseline"/>
        <w:rPr>
          <w:rStyle w:val="7"/>
          <w:rFonts w:ascii="黑体" w:hAnsi="黑体" w:eastAsia="黑体"/>
          <w:color w:val="000000"/>
          <w:kern w:val="2"/>
          <w:sz w:val="52"/>
          <w:szCs w:val="52"/>
          <w:lang w:val="en-US" w:eastAsia="zh-CN" w:bidi="ar-SA"/>
        </w:rPr>
      </w:pPr>
    </w:p>
    <w:p>
      <w:pPr>
        <w:jc w:val="center"/>
        <w:textAlignment w:val="baseline"/>
        <w:rPr>
          <w:rStyle w:val="7"/>
          <w:rFonts w:ascii="黑体" w:hAnsi="黑体" w:eastAsia="黑体"/>
          <w:color w:val="000000"/>
          <w:kern w:val="2"/>
          <w:sz w:val="52"/>
          <w:szCs w:val="52"/>
          <w:lang w:val="en-US" w:eastAsia="zh-CN" w:bidi="ar-SA"/>
        </w:rPr>
      </w:pPr>
    </w:p>
    <w:p>
      <w:pPr>
        <w:snapToGrid w:val="0"/>
        <w:spacing w:line="360" w:lineRule="auto"/>
        <w:jc w:val="center"/>
        <w:textAlignment w:val="baseline"/>
        <w:rPr>
          <w:rStyle w:val="7"/>
          <w:rFonts w:ascii="方正小标宋简体" w:hAnsi="方正小标宋简体" w:eastAsia="方正小标宋简体"/>
          <w:color w:val="000000"/>
          <w:kern w:val="2"/>
          <w:sz w:val="44"/>
          <w:szCs w:val="44"/>
          <w:lang w:val="en-US" w:eastAsia="zh-CN" w:bidi="ar-SA"/>
        </w:rPr>
      </w:pPr>
    </w:p>
    <w:p>
      <w:pPr>
        <w:snapToGrid w:val="0"/>
        <w:spacing w:line="360" w:lineRule="auto"/>
        <w:jc w:val="center"/>
        <w:textAlignment w:val="baseline"/>
        <w:rPr>
          <w:rStyle w:val="7"/>
          <w:rFonts w:ascii="黑体" w:hAnsi="方正小标宋简体" w:eastAsia="黑体"/>
          <w:color w:val="000000"/>
          <w:kern w:val="2"/>
          <w:sz w:val="44"/>
          <w:szCs w:val="44"/>
          <w:lang w:val="en-US" w:eastAsia="zh-CN" w:bidi="ar-SA"/>
        </w:rPr>
      </w:pPr>
      <w:r>
        <w:rPr>
          <w:rStyle w:val="7"/>
          <w:rFonts w:ascii="黑体" w:hAnsi="方正小标宋简体" w:eastAsia="黑体"/>
          <w:color w:val="000000"/>
          <w:kern w:val="2"/>
          <w:sz w:val="32"/>
          <w:szCs w:val="32"/>
          <w:lang w:val="en-US" w:eastAsia="zh-CN" w:bidi="ar-SA"/>
        </w:rPr>
        <w:t>二</w:t>
      </w:r>
      <w:r>
        <w:rPr>
          <w:rStyle w:val="7"/>
          <w:rFonts w:hint="eastAsia" w:ascii="黑体" w:hAnsi="方正小标宋简体" w:eastAsia="黑体"/>
          <w:color w:val="000000"/>
          <w:kern w:val="2"/>
          <w:sz w:val="32"/>
          <w:szCs w:val="32"/>
          <w:lang w:val="en-US" w:eastAsia="zh-CN" w:bidi="ar-SA"/>
        </w:rPr>
        <w:t>〇</w:t>
      </w:r>
      <w:r>
        <w:rPr>
          <w:rStyle w:val="7"/>
          <w:rFonts w:ascii="黑体" w:hAnsi="方正小标宋简体" w:eastAsia="黑体"/>
          <w:color w:val="000000"/>
          <w:kern w:val="2"/>
          <w:sz w:val="32"/>
          <w:szCs w:val="32"/>
          <w:lang w:val="en-US" w:eastAsia="zh-CN" w:bidi="ar-SA"/>
        </w:rPr>
        <w:t>一九年</w:t>
      </w:r>
      <w:r>
        <w:rPr>
          <w:rStyle w:val="7"/>
          <w:rFonts w:hint="eastAsia" w:ascii="黑体" w:hAnsi="方正小标宋简体" w:eastAsia="黑体"/>
          <w:color w:val="000000"/>
          <w:kern w:val="2"/>
          <w:sz w:val="32"/>
          <w:szCs w:val="32"/>
          <w:lang w:val="en-US" w:eastAsia="zh-CN" w:bidi="ar-SA"/>
        </w:rPr>
        <w:t>四</w:t>
      </w:r>
      <w:r>
        <w:rPr>
          <w:rStyle w:val="7"/>
          <w:rFonts w:ascii="黑体" w:hAnsi="方正小标宋简体" w:eastAsia="黑体"/>
          <w:color w:val="000000"/>
          <w:kern w:val="2"/>
          <w:sz w:val="32"/>
          <w:szCs w:val="32"/>
          <w:lang w:val="en-US" w:eastAsia="zh-CN" w:bidi="ar-SA"/>
        </w:rPr>
        <w:t>月</w:t>
      </w:r>
    </w:p>
    <w:p>
      <w:pPr>
        <w:snapToGrid w:val="0"/>
        <w:spacing w:line="360" w:lineRule="auto"/>
        <w:ind w:left="101" w:right="3569" w:firstLine="624" w:firstLineChars="200"/>
        <w:jc w:val="both"/>
        <w:textAlignment w:val="baseline"/>
        <w:rPr>
          <w:rStyle w:val="7"/>
          <w:rFonts w:ascii="仿宋_GB2312" w:hAnsi="仿宋_GB2312" w:eastAsia="仿宋_GB2312"/>
          <w:color w:val="000000"/>
          <w:kern w:val="2"/>
          <w:sz w:val="32"/>
          <w:szCs w:val="32"/>
          <w:lang w:val="en-US" w:eastAsia="zh-CN" w:bidi="ar-SA"/>
        </w:rPr>
      </w:pPr>
    </w:p>
    <w:p>
      <w:pPr>
        <w:snapToGrid w:val="0"/>
        <w:spacing w:line="580" w:lineRule="exact"/>
        <w:ind w:left="-142" w:right="51" w:firstLine="30" w:firstLineChars="7"/>
        <w:jc w:val="center"/>
        <w:textAlignment w:val="baseline"/>
        <w:rPr>
          <w:rStyle w:val="7"/>
          <w:rFonts w:ascii="仿宋_GB2312" w:hAnsi="仿宋_GB2312" w:eastAsia="仿宋_GB2312"/>
          <w:color w:val="000000"/>
          <w:kern w:val="2"/>
          <w:sz w:val="44"/>
          <w:szCs w:val="44"/>
          <w:lang w:val="en-US" w:eastAsia="zh-CN" w:bidi="ar-SA"/>
        </w:rPr>
      </w:pPr>
    </w:p>
    <w:p>
      <w:pPr>
        <w:snapToGrid w:val="0"/>
        <w:spacing w:line="580" w:lineRule="exact"/>
        <w:ind w:left="-142" w:right="51" w:firstLine="30" w:firstLineChars="7"/>
        <w:jc w:val="center"/>
        <w:textAlignment w:val="baseline"/>
        <w:rPr>
          <w:rStyle w:val="7"/>
          <w:rFonts w:ascii="方正小标宋简体" w:hAnsi="仿宋_GB2312" w:eastAsia="方正小标宋简体"/>
          <w:color w:val="000000"/>
          <w:kern w:val="2"/>
          <w:sz w:val="44"/>
          <w:szCs w:val="44"/>
          <w:lang w:val="en-US" w:eastAsia="zh-CN" w:bidi="ar-SA"/>
        </w:rPr>
      </w:pPr>
      <w:r>
        <w:rPr>
          <w:rStyle w:val="7"/>
          <w:rFonts w:ascii="方正小标宋简体" w:hAnsi="仿宋_GB2312" w:eastAsia="方正小标宋简体"/>
          <w:color w:val="000000"/>
          <w:kern w:val="2"/>
          <w:sz w:val="44"/>
          <w:szCs w:val="44"/>
          <w:lang w:val="en-US" w:eastAsia="zh-CN" w:bidi="ar-SA"/>
        </w:rPr>
        <w:t>目</w:t>
      </w:r>
      <w:r>
        <w:rPr>
          <w:rStyle w:val="7"/>
          <w:rFonts w:ascii="方正小标宋简体" w:hAnsi="仿宋_GB2312" w:eastAsia="方正小标宋简体"/>
          <w:color w:val="000000"/>
          <w:spacing w:val="2"/>
          <w:kern w:val="2"/>
          <w:sz w:val="44"/>
          <w:szCs w:val="44"/>
          <w:lang w:val="en-US" w:eastAsia="zh-CN" w:bidi="ar-SA"/>
        </w:rPr>
        <w:t xml:space="preserve"> </w:t>
      </w:r>
      <w:r>
        <w:rPr>
          <w:rStyle w:val="7"/>
          <w:rFonts w:ascii="方正小标宋简体" w:hAnsi="仿宋_GB2312" w:eastAsia="方正小标宋简体"/>
          <w:color w:val="000000"/>
          <w:kern w:val="2"/>
          <w:sz w:val="44"/>
          <w:szCs w:val="44"/>
          <w:lang w:val="en-US" w:eastAsia="zh-CN" w:bidi="ar-SA"/>
        </w:rPr>
        <w:t>录</w:t>
      </w:r>
    </w:p>
    <w:p>
      <w:pPr>
        <w:snapToGrid w:val="0"/>
        <w:spacing w:line="580" w:lineRule="exact"/>
        <w:ind w:right="3569" w:firstLine="624" w:firstLineChars="200"/>
        <w:jc w:val="both"/>
        <w:textAlignment w:val="baseline"/>
        <w:rPr>
          <w:rStyle w:val="7"/>
          <w:rFonts w:ascii="仿宋_GB2312" w:hAnsi="仿宋_GB2312" w:eastAsia="仿宋_GB2312" w:cs="仿宋_GB2312"/>
          <w:b/>
          <w:bCs/>
          <w:color w:val="000000"/>
          <w:kern w:val="2"/>
          <w:sz w:val="32"/>
          <w:szCs w:val="32"/>
          <w:lang w:val="en-US" w:eastAsia="zh-CN" w:bidi="ar-SA"/>
        </w:rPr>
      </w:pPr>
    </w:p>
    <w:p>
      <w:pPr>
        <w:snapToGrid w:val="0"/>
        <w:spacing w:line="360" w:lineRule="auto"/>
        <w:ind w:right="3569" w:firstLine="624" w:firstLineChars="200"/>
        <w:jc w:val="both"/>
        <w:textAlignment w:val="baseline"/>
        <w:rPr>
          <w:rStyle w:val="7"/>
          <w:rFonts w:ascii="仿宋_GB2312" w:hAnsi="仿宋_GB2312" w:eastAsia="仿宋_GB2312"/>
          <w:w w:val="99"/>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第一部分  概况</w:t>
      </w:r>
      <w:r>
        <w:rPr>
          <w:rStyle w:val="7"/>
          <w:rFonts w:ascii="仿宋_GB2312" w:hAnsi="仿宋_GB2312" w:eastAsia="仿宋_GB2312"/>
          <w:w w:val="99"/>
          <w:kern w:val="2"/>
          <w:sz w:val="32"/>
          <w:szCs w:val="32"/>
          <w:lang w:val="en-US" w:eastAsia="zh-CN" w:bidi="ar-SA"/>
        </w:rPr>
        <w:t xml:space="preserve"> </w:t>
      </w:r>
    </w:p>
    <w:p>
      <w:pPr>
        <w:snapToGrid w:val="0"/>
        <w:spacing w:line="360" w:lineRule="auto"/>
        <w:ind w:right="3569"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一、主要职能</w:t>
      </w:r>
    </w:p>
    <w:p>
      <w:pPr>
        <w:snapToGrid w:val="0"/>
        <w:spacing w:line="360" w:lineRule="auto"/>
        <w:ind w:right="3569"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二、部门预算单位构成</w:t>
      </w:r>
    </w:p>
    <w:p>
      <w:pPr>
        <w:snapToGrid w:val="0"/>
        <w:spacing w:line="360" w:lineRule="auto"/>
        <w:ind w:right="521" w:firstLine="624" w:firstLineChars="200"/>
        <w:jc w:val="both"/>
        <w:textAlignment w:val="baseline"/>
        <w:rPr>
          <w:rStyle w:val="7"/>
          <w:rFonts w:ascii="仿宋_GB2312" w:hAnsi="仿宋_GB2312" w:eastAsia="仿宋_GB2312" w:cs="仿宋_GB2312"/>
          <w:b/>
          <w:bCs/>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第二部分伊川县人民检察院2019年部门预算情况说明</w:t>
      </w:r>
    </w:p>
    <w:p>
      <w:pPr>
        <w:snapToGrid w:val="0"/>
        <w:spacing w:line="360" w:lineRule="auto"/>
        <w:ind w:right="521" w:firstLine="624" w:firstLineChars="200"/>
        <w:jc w:val="both"/>
        <w:textAlignment w:val="baseline"/>
        <w:rPr>
          <w:rStyle w:val="7"/>
          <w:rFonts w:ascii="仿宋_GB2312" w:hAnsi="仿宋_GB2312" w:eastAsia="仿宋_GB2312" w:cs="仿宋_GB2312"/>
          <w:b/>
          <w:bCs/>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第三部分 名词解释</w:t>
      </w:r>
    </w:p>
    <w:p>
      <w:pPr>
        <w:snapToGrid w:val="0"/>
        <w:spacing w:line="360" w:lineRule="auto"/>
        <w:ind w:firstLine="624" w:firstLineChars="200"/>
        <w:jc w:val="both"/>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附件：</w:t>
      </w:r>
      <w:r>
        <w:rPr>
          <w:rStyle w:val="7"/>
          <w:rFonts w:ascii="仿宋_GB2312" w:hAnsi="仿宋_GB2312" w:eastAsia="仿宋_GB2312"/>
          <w:spacing w:val="-32"/>
          <w:kern w:val="2"/>
          <w:sz w:val="32"/>
          <w:szCs w:val="32"/>
          <w:lang w:val="en-US" w:eastAsia="zh-CN" w:bidi="ar-SA"/>
        </w:rPr>
        <w:t xml:space="preserve"> </w:t>
      </w:r>
      <w:r>
        <w:rPr>
          <w:rStyle w:val="7"/>
          <w:rFonts w:ascii="仿宋_GB2312" w:hAnsi="仿宋_GB2312" w:eastAsia="仿宋_GB2312"/>
          <w:kern w:val="2"/>
          <w:sz w:val="32"/>
          <w:szCs w:val="32"/>
          <w:lang w:val="en-US" w:eastAsia="zh-CN" w:bidi="ar-SA"/>
        </w:rPr>
        <w:t>伊川县人民检察院2019年度部门预算表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一、部门收支总体情况表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二、部门收入总体情况表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三、部门支出总体情况表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四、财政拨款收支总体情况表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五、一般公共预算支出情况表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六、一般公共预算基本支出情况表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七、一般公共预算“三公”经费支出情况表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八、政府性基金预算支出情况表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九、国有资本经营预算收支情况表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十、机关运行经费</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kern w:val="2"/>
          <w:sz w:val="32"/>
          <w:szCs w:val="32"/>
          <w:lang w:val="en-US" w:eastAsia="zh-CN" w:bidi="ar-SA"/>
        </w:rPr>
        <w:t>十一、预算项目支出绩效目标表</w:t>
      </w:r>
    </w:p>
    <w:p>
      <w:pPr>
        <w:snapToGrid w:val="0"/>
        <w:spacing w:line="360" w:lineRule="auto"/>
        <w:ind w:right="51" w:firstLine="936" w:firstLineChars="300"/>
        <w:jc w:val="left"/>
        <w:textAlignment w:val="baseline"/>
        <w:rPr>
          <w:rStyle w:val="7"/>
          <w:rFonts w:ascii="仿宋_GB2312" w:hAnsi="仿宋_GB2312" w:eastAsia="仿宋_GB2312"/>
          <w:kern w:val="2"/>
          <w:sz w:val="32"/>
          <w:szCs w:val="32"/>
          <w:lang w:val="en-US" w:eastAsia="zh-CN" w:bidi="ar-SA"/>
        </w:rPr>
      </w:pPr>
    </w:p>
    <w:p>
      <w:pPr>
        <w:snapToGrid w:val="0"/>
        <w:spacing w:line="580" w:lineRule="exact"/>
        <w:ind w:firstLine="3744" w:firstLineChars="1200"/>
        <w:jc w:val="both"/>
        <w:textAlignment w:val="baseline"/>
        <w:rPr>
          <w:rStyle w:val="7"/>
          <w:rFonts w:ascii="仿宋_GB2312" w:hAnsi="仿宋_GB2312" w:eastAsia="仿宋_GB2312" w:cs="仿宋_GB2312"/>
          <w:b/>
          <w:bCs/>
          <w:color w:val="000000"/>
          <w:kern w:val="2"/>
          <w:sz w:val="32"/>
          <w:szCs w:val="32"/>
          <w:lang w:val="en-US" w:eastAsia="zh-CN" w:bidi="ar-SA"/>
        </w:rPr>
      </w:pPr>
    </w:p>
    <w:p>
      <w:pPr>
        <w:snapToGrid w:val="0"/>
        <w:spacing w:line="580" w:lineRule="exact"/>
        <w:jc w:val="center"/>
        <w:textAlignment w:val="baseline"/>
        <w:rPr>
          <w:rStyle w:val="7"/>
          <w:rFonts w:ascii="黑体" w:hAnsi="仿宋_GB2312" w:eastAsia="黑体" w:cs="仿宋_GB2312"/>
          <w:bCs/>
          <w:color w:val="000000"/>
          <w:kern w:val="2"/>
          <w:sz w:val="36"/>
          <w:szCs w:val="36"/>
          <w:lang w:val="en-US" w:eastAsia="zh-CN" w:bidi="ar-SA"/>
        </w:rPr>
      </w:pPr>
      <w:r>
        <w:rPr>
          <w:rStyle w:val="7"/>
          <w:rFonts w:ascii="黑体" w:hAnsi="仿宋_GB2312" w:eastAsia="黑体" w:cs="仿宋_GB2312"/>
          <w:bCs/>
          <w:color w:val="000000"/>
          <w:kern w:val="2"/>
          <w:sz w:val="36"/>
          <w:szCs w:val="36"/>
          <w:lang w:val="en-US" w:eastAsia="zh-CN" w:bidi="ar-SA"/>
        </w:rPr>
        <w:t>第一部分</w:t>
      </w:r>
    </w:p>
    <w:p>
      <w:pPr>
        <w:snapToGrid w:val="0"/>
        <w:spacing w:line="580" w:lineRule="exact"/>
        <w:jc w:val="center"/>
        <w:textAlignment w:val="baseline"/>
        <w:rPr>
          <w:rStyle w:val="7"/>
          <w:rFonts w:ascii="黑体" w:hAnsi="仿宋_GB2312" w:eastAsia="黑体"/>
          <w:color w:val="000000"/>
          <w:kern w:val="2"/>
          <w:sz w:val="36"/>
          <w:szCs w:val="36"/>
          <w:lang w:val="en-US" w:eastAsia="zh-CN" w:bidi="ar-SA"/>
        </w:rPr>
      </w:pPr>
      <w:r>
        <w:rPr>
          <w:rStyle w:val="7"/>
          <w:rFonts w:ascii="黑体" w:hAnsi="仿宋_GB2312" w:eastAsia="黑体" w:cs="仿宋_GB2312"/>
          <w:bCs/>
          <w:color w:val="000000"/>
          <w:kern w:val="2"/>
          <w:sz w:val="36"/>
          <w:szCs w:val="36"/>
          <w:lang w:val="en-US" w:eastAsia="zh-CN" w:bidi="ar-SA"/>
        </w:rPr>
        <w:t>伊川县人民检察院概况</w:t>
      </w:r>
    </w:p>
    <w:p>
      <w:pPr>
        <w:snapToGrid w:val="0"/>
        <w:spacing w:line="580" w:lineRule="exact"/>
        <w:ind w:firstLine="624" w:firstLineChars="200"/>
        <w:jc w:val="center"/>
        <w:textAlignment w:val="baseline"/>
        <w:rPr>
          <w:rStyle w:val="7"/>
          <w:rFonts w:ascii="仿宋_GB2312" w:hAnsi="仿宋_GB2312" w:eastAsia="仿宋_GB2312"/>
          <w:color w:val="000000"/>
          <w:kern w:val="2"/>
          <w:sz w:val="32"/>
          <w:szCs w:val="32"/>
          <w:lang w:val="en-US" w:eastAsia="zh-CN" w:bidi="ar-SA"/>
        </w:rPr>
      </w:pPr>
    </w:p>
    <w:p>
      <w:pPr>
        <w:numPr>
          <w:ilvl w:val="0"/>
          <w:numId w:val="1"/>
        </w:numPr>
        <w:snapToGrid w:val="0"/>
        <w:spacing w:line="580" w:lineRule="exact"/>
        <w:ind w:firstLine="624" w:firstLineChars="200"/>
        <w:jc w:val="both"/>
        <w:textAlignment w:val="baseline"/>
        <w:rPr>
          <w:rStyle w:val="7"/>
          <w:rFonts w:ascii="黑体" w:hAnsi="仿宋_GB2312" w:eastAsia="黑体"/>
          <w:color w:val="000000"/>
          <w:kern w:val="2"/>
          <w:sz w:val="32"/>
          <w:szCs w:val="32"/>
          <w:lang w:val="en-US" w:eastAsia="zh-CN" w:bidi="ar-SA"/>
        </w:rPr>
      </w:pPr>
      <w:r>
        <w:rPr>
          <w:rStyle w:val="7"/>
          <w:rFonts w:ascii="黑体" w:hAnsi="仿宋_GB2312" w:eastAsia="黑体"/>
          <w:color w:val="000000"/>
          <w:kern w:val="2"/>
          <w:sz w:val="32"/>
          <w:szCs w:val="32"/>
          <w:lang w:val="en-US" w:eastAsia="zh-CN" w:bidi="ar-SA"/>
        </w:rPr>
        <w:t>主要职能</w:t>
      </w:r>
    </w:p>
    <w:p>
      <w:pPr>
        <w:numPr>
          <w:ilvl w:val="0"/>
          <w:numId w:val="2"/>
        </w:numPr>
        <w:snapToGrid w:val="0"/>
        <w:spacing w:line="580" w:lineRule="exact"/>
        <w:ind w:right="3569" w:firstLine="624" w:firstLineChars="200"/>
        <w:jc w:val="left"/>
        <w:textAlignment w:val="baseline"/>
        <w:rPr>
          <w:rStyle w:val="7"/>
          <w:rFonts w:ascii="楷体_GB2312" w:hAnsi="仿宋_GB2312" w:eastAsia="楷体_GB2312"/>
          <w:color w:val="000000"/>
          <w:kern w:val="2"/>
          <w:sz w:val="32"/>
          <w:szCs w:val="32"/>
          <w:lang w:val="en-US" w:eastAsia="zh-CN" w:bidi="ar-SA"/>
        </w:rPr>
      </w:pPr>
      <w:r>
        <w:rPr>
          <w:rStyle w:val="7"/>
          <w:rFonts w:ascii="楷体_GB2312" w:hAnsi="仿宋_GB2312" w:eastAsia="楷体_GB2312"/>
          <w:color w:val="000000"/>
          <w:kern w:val="2"/>
          <w:sz w:val="32"/>
          <w:szCs w:val="32"/>
          <w:lang w:val="en-US" w:eastAsia="zh-CN" w:bidi="ar-SA"/>
        </w:rPr>
        <w:t>机构设置情况</w:t>
      </w:r>
    </w:p>
    <w:p>
      <w:pPr>
        <w:spacing w:before="156" w:line="600" w:lineRule="exact"/>
        <w:ind w:firstLine="816" w:firstLineChars="3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人民检察院是国家的法律监督机关，依法行使下列职权：</w:t>
      </w:r>
    </w:p>
    <w:p>
      <w:pPr>
        <w:pStyle w:val="9"/>
        <w:widowControl/>
        <w:tabs>
          <w:tab w:val="left" w:pos="1373"/>
        </w:tabs>
        <w:spacing w:before="0" w:line="600" w:lineRule="exact"/>
        <w:ind w:firstLine="680" w:firstLineChars="250"/>
        <w:jc w:val="both"/>
        <w:textAlignment w:val="baseline"/>
        <w:rPr>
          <w:rStyle w:val="7"/>
          <w:rFonts w:ascii="仿宋" w:hAnsi="仿宋" w:eastAsia="仿宋"/>
          <w:kern w:val="0"/>
          <w:sz w:val="28"/>
          <w:szCs w:val="28"/>
          <w:lang w:val="en-US" w:eastAsia="zh-CN" w:bidi="ar-SA"/>
        </w:rPr>
      </w:pPr>
      <w:r>
        <w:rPr>
          <w:rStyle w:val="7"/>
          <w:rFonts w:ascii="仿宋" w:hAnsi="仿宋" w:eastAsia="仿宋"/>
          <w:kern w:val="0"/>
          <w:sz w:val="28"/>
          <w:szCs w:val="28"/>
          <w:lang w:val="en-US" w:eastAsia="zh-CN" w:bidi="ar-SA"/>
        </w:rPr>
        <w:t>1、深入贯彻习近平新时代中国特色社会主义思想，深入贯彻党的路线方针政策和决策部署，统一思想和行动，坚持党对检察工作的绝对领导，坚决维护习近平总书记的核心地位，坚决维护党中央权威和集中统一领导。</w:t>
      </w:r>
    </w:p>
    <w:p>
      <w:pPr>
        <w:pStyle w:val="9"/>
        <w:widowControl/>
        <w:tabs>
          <w:tab w:val="left" w:pos="1373"/>
        </w:tabs>
        <w:spacing w:before="0" w:line="600" w:lineRule="exact"/>
        <w:ind w:firstLine="544" w:firstLineChars="200"/>
        <w:jc w:val="both"/>
        <w:textAlignment w:val="baseline"/>
        <w:rPr>
          <w:rStyle w:val="7"/>
          <w:rFonts w:ascii="仿宋" w:hAnsi="仿宋" w:eastAsia="仿宋"/>
          <w:kern w:val="0"/>
          <w:sz w:val="28"/>
          <w:szCs w:val="28"/>
          <w:lang w:val="en-US" w:eastAsia="zh-CN" w:bidi="ar-SA"/>
        </w:rPr>
      </w:pPr>
      <w:r>
        <w:rPr>
          <w:rStyle w:val="7"/>
          <w:rFonts w:ascii="仿宋" w:hAnsi="仿宋" w:eastAsia="仿宋"/>
          <w:kern w:val="0"/>
          <w:sz w:val="28"/>
          <w:szCs w:val="28"/>
          <w:lang w:val="en-US" w:eastAsia="zh-CN" w:bidi="ar-SA"/>
        </w:rPr>
        <w:t>2、依法向伊川县人民代表大会及其常务委员会提出议案。</w:t>
      </w:r>
    </w:p>
    <w:p>
      <w:pPr>
        <w:pStyle w:val="9"/>
        <w:widowControl/>
        <w:tabs>
          <w:tab w:val="left" w:pos="1373"/>
        </w:tabs>
        <w:spacing w:before="0" w:line="600" w:lineRule="exact"/>
        <w:ind w:firstLine="544" w:firstLineChars="200"/>
        <w:jc w:val="both"/>
        <w:textAlignment w:val="baseline"/>
        <w:rPr>
          <w:rStyle w:val="7"/>
          <w:rFonts w:ascii="仿宋" w:hAnsi="仿宋" w:eastAsia="仿宋"/>
          <w:kern w:val="0"/>
          <w:sz w:val="28"/>
          <w:szCs w:val="28"/>
          <w:lang w:val="en-US" w:eastAsia="zh-CN" w:bidi="ar-SA"/>
        </w:rPr>
      </w:pPr>
      <w:r>
        <w:rPr>
          <w:rStyle w:val="7"/>
          <w:rFonts w:ascii="仿宋" w:hAnsi="仿宋" w:eastAsia="仿宋"/>
          <w:kern w:val="0"/>
          <w:sz w:val="28"/>
          <w:szCs w:val="28"/>
          <w:lang w:val="en-US" w:eastAsia="zh-CN" w:bidi="ar-SA"/>
        </w:rPr>
        <w:t>3、贯彻落实上级人民检察院确定的检察工作方针、规划和任务，部署和推进检察工作，完成上级人民检察院部署的工作任务。</w:t>
      </w:r>
    </w:p>
    <w:p>
      <w:pPr>
        <w:pStyle w:val="9"/>
        <w:widowControl/>
        <w:tabs>
          <w:tab w:val="left" w:pos="1595"/>
        </w:tabs>
        <w:spacing w:before="0" w:line="600" w:lineRule="exact"/>
        <w:ind w:firstLine="544" w:firstLineChars="200"/>
        <w:jc w:val="both"/>
        <w:textAlignment w:val="baseline"/>
        <w:rPr>
          <w:rStyle w:val="7"/>
          <w:rFonts w:ascii="仿宋" w:hAnsi="仿宋" w:eastAsia="仿宋"/>
          <w:kern w:val="0"/>
          <w:sz w:val="28"/>
          <w:szCs w:val="28"/>
          <w:lang w:val="en-US" w:eastAsia="zh-CN" w:bidi="ar-SA"/>
        </w:rPr>
      </w:pPr>
      <w:r>
        <w:rPr>
          <w:rStyle w:val="7"/>
          <w:rFonts w:ascii="仿宋" w:hAnsi="仿宋" w:eastAsia="仿宋"/>
          <w:kern w:val="0"/>
          <w:sz w:val="28"/>
          <w:szCs w:val="28"/>
          <w:lang w:val="en-US" w:eastAsia="zh-CN" w:bidi="ar-SA"/>
        </w:rPr>
        <w:t>4、依照法律及有关规定对由设区的市级人民检察院交办、依照法律规定由人民检察院直接受理的刑事案件行使侦查权，及协助上级人民检察院侦查。</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5、对本区（县）刑事犯罪案件依法决定拘留、审查批准逮捕、决定逮捕、提起公诉。</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6、负责应由县级人民检察院承办的刑事、民事、行政诉讼活动及刑事、民事、行政判决和裁定等生效法律文书执行的法律监督工作。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7、负责应由县级人民检察院承办的提起公益诉讼工作。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8、负责应由县级人民检察院承办的对监狱、看守所和社区矫正机构等执法活动的法律监督工作。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9、受理向县级人民检察院的控告和申诉，办理国家赔偿和司法救助案件。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10、负责检察理论研究工作。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11、负责检察队伍建设和思想政治工作。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12、协同区（县）主管部门管理和考核机关干部，负责提请区（县）人民代表大会及其常务委员会任免副检察长、检察委员会委员、检察员。</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13、负责检察技术信息工作、财务装备工作、警务保障工作。</w:t>
      </w:r>
    </w:p>
    <w:p>
      <w:pPr>
        <w:spacing w:line="600" w:lineRule="exact"/>
        <w:ind w:firstLine="544" w:firstLineChars="200"/>
        <w:jc w:val="both"/>
        <w:textAlignment w:val="baseline"/>
        <w:rPr>
          <w:rStyle w:val="7"/>
          <w:rFonts w:ascii="楷体_GB2312" w:hAnsi="仿宋_GB2312" w:eastAsia="楷体_GB2312"/>
          <w:color w:val="000000"/>
          <w:kern w:val="2"/>
          <w:sz w:val="32"/>
          <w:szCs w:val="32"/>
          <w:lang w:val="en-US" w:eastAsia="zh-CN" w:bidi="ar-SA"/>
        </w:rPr>
      </w:pPr>
      <w:r>
        <w:rPr>
          <w:rStyle w:val="7"/>
          <w:rFonts w:ascii="仿宋" w:hAnsi="仿宋" w:eastAsia="仿宋"/>
          <w:kern w:val="2"/>
          <w:sz w:val="28"/>
          <w:szCs w:val="28"/>
          <w:lang w:val="en-US" w:eastAsia="zh-CN" w:bidi="ar-SA"/>
        </w:rPr>
        <w:t>14、负责上级人民检察院交办和其他应当由县级人民检察院承办的事项。</w:t>
      </w:r>
    </w:p>
    <w:p>
      <w:pPr>
        <w:snapToGrid w:val="0"/>
        <w:spacing w:line="580" w:lineRule="exact"/>
        <w:ind w:right="3569" w:firstLine="624" w:firstLineChars="200"/>
        <w:jc w:val="left"/>
        <w:textAlignment w:val="baseline"/>
        <w:rPr>
          <w:rStyle w:val="7"/>
          <w:rFonts w:ascii="楷体_GB2312" w:hAnsi="仿宋_GB2312" w:eastAsia="楷体_GB2312"/>
          <w:color w:val="000000"/>
          <w:kern w:val="2"/>
          <w:sz w:val="32"/>
          <w:szCs w:val="32"/>
          <w:lang w:val="en-US" w:eastAsia="zh-CN" w:bidi="ar-SA"/>
        </w:rPr>
      </w:pPr>
      <w:r>
        <w:rPr>
          <w:rStyle w:val="7"/>
          <w:rFonts w:ascii="楷体_GB2312" w:hAnsi="仿宋_GB2312" w:eastAsia="楷体_GB2312"/>
          <w:color w:val="000000"/>
          <w:kern w:val="2"/>
          <w:sz w:val="32"/>
          <w:szCs w:val="32"/>
          <w:lang w:val="en-US" w:eastAsia="zh-CN" w:bidi="ar-SA"/>
        </w:rPr>
        <w:t>（二）部门职责</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b/>
          <w:kern w:val="2"/>
          <w:sz w:val="28"/>
          <w:szCs w:val="28"/>
          <w:lang w:val="en-US" w:eastAsia="zh-CN" w:bidi="ar-SA"/>
        </w:rPr>
        <w:t>1、办公室</w:t>
      </w:r>
      <w:r>
        <w:rPr>
          <w:rStyle w:val="7"/>
          <w:rFonts w:ascii="仿宋" w:hAnsi="仿宋" w:eastAsia="仿宋"/>
          <w:kern w:val="2"/>
          <w:sz w:val="28"/>
          <w:szCs w:val="28"/>
          <w:lang w:val="en-US" w:eastAsia="zh-CN" w:bidi="ar-SA"/>
        </w:rPr>
        <w:t>（可加挂司法警察大队、检察技术信息科牌子）。负责机关文电、会务、机要、档案、保密等工作。协助院领导处理检察政务，组织协调本院重要工作部署、重大决策的贯彻实施，组织安排机关重要会议和重大活动。起草审核相关文件文稿，处理检察信息，编发内部刊物。负责人民监督员工作，负责人大代表联络工作和特约检察员的联系工作。负责外事工作。负责领导同志批办事项的督查工作。</w:t>
      </w:r>
      <w:r>
        <w:rPr>
          <w:rStyle w:val="7"/>
          <w:rFonts w:ascii="仿宋" w:hAnsi="仿宋" w:eastAsia="仿宋"/>
          <w:kern w:val="0"/>
          <w:sz w:val="28"/>
          <w:szCs w:val="28"/>
          <w:lang w:val="en-US" w:eastAsia="zh-CN" w:bidi="ar-SA"/>
        </w:rPr>
        <w:t>负责平安建设等日常工作。</w:t>
      </w:r>
      <w:r>
        <w:rPr>
          <w:rStyle w:val="7"/>
          <w:rFonts w:ascii="仿宋" w:hAnsi="仿宋" w:eastAsia="仿宋"/>
          <w:kern w:val="2"/>
          <w:sz w:val="28"/>
          <w:szCs w:val="28"/>
          <w:lang w:val="en-US" w:eastAsia="zh-CN" w:bidi="ar-SA"/>
        </w:rPr>
        <w:t>负责制定实施财务和装备规划，编制支出规划和部门预决算。负责财务管理、国有资产管理、政府采购等工作。负责检察技术和信息化应用系统平台建设相关工作，负责涉检网络舆情监测工作。负责司法警察的培训、考核和管理工作；负责组织司法警察履行职责、协助司法办案、办案安全警务保障等工作。</w:t>
      </w:r>
    </w:p>
    <w:p>
      <w:pPr>
        <w:spacing w:line="600" w:lineRule="exact"/>
        <w:ind w:firstLine="544" w:firstLineChars="200"/>
        <w:jc w:val="both"/>
        <w:textAlignment w:val="baseline"/>
        <w:rPr>
          <w:rStyle w:val="7"/>
          <w:rFonts w:ascii="仿宋" w:hAnsi="仿宋" w:eastAsia="仿宋"/>
          <w:kern w:val="0"/>
          <w:sz w:val="28"/>
          <w:szCs w:val="28"/>
          <w:lang w:val="en-US" w:eastAsia="zh-CN" w:bidi="ar-SA"/>
        </w:rPr>
      </w:pPr>
      <w:r>
        <w:rPr>
          <w:rStyle w:val="7"/>
          <w:rFonts w:ascii="仿宋" w:hAnsi="仿宋" w:eastAsia="仿宋"/>
          <w:b/>
          <w:kern w:val="2"/>
          <w:sz w:val="28"/>
          <w:szCs w:val="28"/>
          <w:lang w:val="en-US" w:eastAsia="zh-CN" w:bidi="ar-SA"/>
        </w:rPr>
        <w:t>2、政治部。</w:t>
      </w:r>
      <w:r>
        <w:rPr>
          <w:rStyle w:val="7"/>
          <w:rFonts w:ascii="仿宋" w:hAnsi="仿宋" w:eastAsia="仿宋"/>
          <w:kern w:val="2"/>
          <w:sz w:val="28"/>
          <w:szCs w:val="28"/>
          <w:lang w:val="en-US" w:eastAsia="zh-CN" w:bidi="ar-SA"/>
        </w:rPr>
        <w:t>负责党的建设、检察队伍建设和群团工作。负责机关干部考核、任免、调配及工资档案管理工作。负责司法体制改革、队伍管理与组织建设相关工作。负责</w:t>
      </w:r>
      <w:r>
        <w:rPr>
          <w:rStyle w:val="7"/>
          <w:rFonts w:ascii="仿宋" w:hAnsi="仿宋" w:eastAsia="仿宋"/>
          <w:kern w:val="0"/>
          <w:sz w:val="28"/>
          <w:szCs w:val="28"/>
          <w:lang w:val="en-US" w:eastAsia="zh-CN" w:bidi="ar-SA"/>
        </w:rPr>
        <w:t>组织管理检察人员的教育培训、岗位练兵、高层次人才的选拔培养等。</w:t>
      </w:r>
      <w:r>
        <w:rPr>
          <w:rStyle w:val="7"/>
          <w:rFonts w:ascii="仿宋" w:hAnsi="仿宋" w:eastAsia="仿宋"/>
          <w:kern w:val="2"/>
          <w:sz w:val="28"/>
          <w:szCs w:val="28"/>
          <w:lang w:val="en-US" w:eastAsia="zh-CN" w:bidi="ar-SA"/>
        </w:rPr>
        <w:t>负责开展具有检察特点的思想政治工作。协助党组指导、督导机关党建工作。承办党组中心组学习事宜。负责表彰奖励和先进典型的总结推广，负责精神文明建设和检察文化建设，负责上级检察院对本院考评相关工作。负责宣传检察工作及先进典型和队伍建设情况。</w:t>
      </w:r>
      <w:r>
        <w:rPr>
          <w:rStyle w:val="7"/>
          <w:rFonts w:ascii="仿宋" w:hAnsi="仿宋" w:eastAsia="仿宋"/>
          <w:kern w:val="0"/>
          <w:sz w:val="28"/>
          <w:szCs w:val="28"/>
          <w:lang w:val="en-US" w:eastAsia="zh-CN" w:bidi="ar-SA"/>
        </w:rPr>
        <w:t>协助党组抓好意识形态工作。</w:t>
      </w:r>
      <w:r>
        <w:rPr>
          <w:rStyle w:val="7"/>
          <w:rFonts w:ascii="仿宋" w:hAnsi="仿宋" w:eastAsia="仿宋"/>
          <w:kern w:val="2"/>
          <w:sz w:val="28"/>
          <w:szCs w:val="28"/>
          <w:lang w:val="en-US" w:eastAsia="zh-CN" w:bidi="ar-SA"/>
        </w:rPr>
        <w:t>协调、管理本院新闻宣传和舆论引导工作。负责涉检舆情的引导应对工作。负责开展检务督察工作，</w:t>
      </w:r>
      <w:r>
        <w:rPr>
          <w:rStyle w:val="7"/>
          <w:rFonts w:ascii="仿宋" w:hAnsi="仿宋" w:eastAsia="仿宋"/>
          <w:kern w:val="0"/>
          <w:sz w:val="28"/>
          <w:szCs w:val="28"/>
          <w:lang w:val="en-US" w:eastAsia="zh-CN" w:bidi="ar-SA"/>
        </w:rPr>
        <w:t>协助党组落实党风廉政建设主体责任。负责机关离退休干部工作。</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b/>
          <w:kern w:val="2"/>
          <w:sz w:val="28"/>
          <w:szCs w:val="28"/>
          <w:lang w:val="en-US" w:eastAsia="zh-CN" w:bidi="ar-SA"/>
        </w:rPr>
        <w:t>3、第一检察部。</w:t>
      </w:r>
      <w:r>
        <w:rPr>
          <w:rStyle w:val="7"/>
          <w:rFonts w:ascii="仿宋" w:hAnsi="仿宋" w:eastAsia="仿宋"/>
          <w:kern w:val="2"/>
          <w:sz w:val="28"/>
          <w:szCs w:val="28"/>
          <w:lang w:val="en-US" w:eastAsia="zh-CN" w:bidi="ar-SA"/>
        </w:rPr>
        <w:t>负责对法律规定由县级人民检察院办理的除第二检察部承办案件以外的刑事案件的审查逮捕、审查起诉、出庭支持公诉、提出（提请）抗诉，开展相关立案监督、侦查监督、审判监督以及相关案件的补充侦查。办理县级人民检察院管辖的相关刑事申诉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b/>
          <w:kern w:val="2"/>
          <w:sz w:val="28"/>
          <w:szCs w:val="28"/>
          <w:lang w:val="en-US" w:eastAsia="zh-CN" w:bidi="ar-SA"/>
        </w:rPr>
        <w:t>4、第二检察部。</w:t>
      </w:r>
      <w:r>
        <w:rPr>
          <w:rStyle w:val="7"/>
          <w:rFonts w:ascii="仿宋" w:hAnsi="仿宋" w:eastAsia="仿宋"/>
          <w:kern w:val="2"/>
          <w:sz w:val="28"/>
          <w:szCs w:val="28"/>
          <w:lang w:val="en-US" w:eastAsia="zh-CN" w:bidi="ar-SA"/>
        </w:rPr>
        <w:t>负责对法律规定由县级人民检察院办理的职务犯罪案件的审查逮捕、审查起诉、出庭支持公诉、提出（提请）抗诉，开展相关审判监督以及相关案件的补充侦查。办理县级人民检察院管辖的相关刑事申诉案件。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负责对法律规定由县级人民检察院办理的破坏社会主义市场经济秩序犯罪案件的审查逮捕、审查起诉、出庭支持公诉、提出（提请）抗诉，开展相关立案监督、侦查监督、审判监督以及相关案件的补充侦查。办理县级人民检察院管辖的相关刑事申诉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b/>
          <w:kern w:val="2"/>
          <w:sz w:val="28"/>
          <w:szCs w:val="28"/>
          <w:lang w:val="en-US" w:eastAsia="zh-CN" w:bidi="ar-SA"/>
        </w:rPr>
        <w:t>5、第三检察部。</w:t>
      </w:r>
      <w:r>
        <w:rPr>
          <w:rStyle w:val="7"/>
          <w:rFonts w:ascii="仿宋" w:hAnsi="仿宋" w:eastAsia="仿宋"/>
          <w:kern w:val="2"/>
          <w:sz w:val="28"/>
          <w:szCs w:val="28"/>
          <w:lang w:val="en-US" w:eastAsia="zh-CN" w:bidi="ar-SA"/>
        </w:rPr>
        <w:t>负责对监狱、看守所和社区矫正机构等执法活动的监督，对刑事判决、裁定执行、强制医疗执行、羁押和办案期限的监督，羁押必要性审查。办理罪犯又犯罪案件。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负责对依照法律及有关规定由设区的市级人民检察院交办的司法工作人员利用职权实施的非法拘禁、刑讯逼供、非法搜查等侵犯公民权利、损害司法公正犯罪，以及按照刑事诉讼法规定需要由人民检察院直接受理的其他重大犯罪案件的侦查，及协助上级人民检察院侦查。</w:t>
      </w:r>
    </w:p>
    <w:p>
      <w:pPr>
        <w:spacing w:line="600" w:lineRule="exact"/>
        <w:ind w:firstLine="544" w:firstLineChars="200"/>
        <w:jc w:val="both"/>
        <w:textAlignment w:val="baseline"/>
        <w:rPr>
          <w:rStyle w:val="7"/>
          <w:rFonts w:ascii="仿宋" w:hAnsi="仿宋" w:eastAsia="仿宋"/>
          <w:b/>
          <w:kern w:val="2"/>
          <w:sz w:val="28"/>
          <w:szCs w:val="28"/>
          <w:lang w:val="en-US" w:eastAsia="zh-CN" w:bidi="ar-SA"/>
        </w:rPr>
      </w:pPr>
      <w:r>
        <w:rPr>
          <w:rStyle w:val="7"/>
          <w:rFonts w:ascii="仿宋" w:hAnsi="仿宋" w:eastAsia="仿宋"/>
          <w:b/>
          <w:kern w:val="2"/>
          <w:sz w:val="28"/>
          <w:szCs w:val="28"/>
          <w:lang w:val="en-US" w:eastAsia="zh-CN" w:bidi="ar-SA"/>
        </w:rPr>
        <w:t>6、第四检察部。</w:t>
      </w:r>
      <w:r>
        <w:rPr>
          <w:rStyle w:val="7"/>
          <w:rFonts w:ascii="仿宋" w:hAnsi="仿宋" w:eastAsia="仿宋"/>
          <w:kern w:val="2"/>
          <w:sz w:val="28"/>
          <w:szCs w:val="28"/>
          <w:lang w:val="en-US" w:eastAsia="zh-CN" w:bidi="ar-SA"/>
        </w:rPr>
        <w:t>负责办理向县级人民检察院申请监督的民事案件的审查、提请抗诉、提出再审检察建议。承办对县级人民法院民事诉讼活动的法律监督，对审判监督程序以外的其他民事审判程序中审判人员的违法行为进行监督，对民事执行活动实行法律监督。开展民事支持起诉工作。办理县级人民检察院管辖的民事申诉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kern w:val="2"/>
          <w:sz w:val="28"/>
          <w:szCs w:val="28"/>
          <w:lang w:val="en-US" w:eastAsia="zh-CN" w:bidi="ar-SA"/>
        </w:rPr>
        <w:t>负责办理向县级人民检察院申请监督的行政案件的审查、提请抗诉、提出再审检察建议。承办对县级人民法院行政诉讼活动的法律监督，对审判监督程序以外的其他行政审判程序中审判人员的违法行为进行监督，对行政执行活动实行法律监督。办理县级人民检察院管辖的行政申诉案件。</w:t>
      </w:r>
    </w:p>
    <w:p>
      <w:pPr>
        <w:spacing w:line="600" w:lineRule="exact"/>
        <w:ind w:firstLine="544" w:firstLineChars="200"/>
        <w:jc w:val="both"/>
        <w:textAlignment w:val="baseline"/>
        <w:rPr>
          <w:rStyle w:val="7"/>
          <w:rFonts w:ascii="仿宋" w:hAnsi="仿宋" w:eastAsia="仿宋"/>
          <w:kern w:val="0"/>
          <w:sz w:val="28"/>
          <w:szCs w:val="28"/>
          <w:lang w:val="en-US" w:eastAsia="zh-CN" w:bidi="ar-SA"/>
        </w:rPr>
      </w:pPr>
      <w:r>
        <w:rPr>
          <w:rStyle w:val="7"/>
          <w:rFonts w:ascii="仿宋" w:hAnsi="仿宋" w:eastAsia="仿宋"/>
          <w:kern w:val="2"/>
          <w:sz w:val="28"/>
          <w:szCs w:val="28"/>
          <w:lang w:val="en-US" w:eastAsia="zh-CN" w:bidi="ar-SA"/>
        </w:rPr>
        <w:t>负责办理法律规定由县级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w:t>
      </w:r>
      <w:r>
        <w:rPr>
          <w:rStyle w:val="7"/>
          <w:rFonts w:ascii="仿宋" w:hAnsi="仿宋" w:eastAsia="仿宋"/>
          <w:kern w:val="0"/>
          <w:sz w:val="28"/>
          <w:szCs w:val="28"/>
          <w:lang w:val="en-US" w:eastAsia="zh-CN" w:bidi="ar-SA"/>
        </w:rPr>
        <w:t>负责对</w:t>
      </w:r>
      <w:r>
        <w:rPr>
          <w:rStyle w:val="7"/>
          <w:rFonts w:ascii="仿宋" w:hAnsi="仿宋" w:eastAsia="仿宋"/>
          <w:kern w:val="2"/>
          <w:sz w:val="28"/>
          <w:szCs w:val="28"/>
          <w:lang w:val="en-US" w:eastAsia="zh-CN" w:bidi="ar-SA"/>
        </w:rPr>
        <w:t>县</w:t>
      </w:r>
      <w:r>
        <w:rPr>
          <w:rStyle w:val="7"/>
          <w:rFonts w:ascii="仿宋" w:hAnsi="仿宋" w:eastAsia="仿宋"/>
          <w:kern w:val="0"/>
          <w:sz w:val="28"/>
          <w:szCs w:val="28"/>
          <w:lang w:val="en-US" w:eastAsia="zh-CN" w:bidi="ar-SA"/>
        </w:rPr>
        <w:t>级人民法院开庭审理的公益诉讼案件，派员出席法庭，依照有关规定提出检察建议。办理</w:t>
      </w:r>
      <w:r>
        <w:rPr>
          <w:rStyle w:val="7"/>
          <w:rFonts w:ascii="仿宋" w:hAnsi="仿宋" w:eastAsia="仿宋"/>
          <w:kern w:val="2"/>
          <w:sz w:val="28"/>
          <w:szCs w:val="28"/>
          <w:lang w:val="en-US" w:eastAsia="zh-CN" w:bidi="ar-SA"/>
        </w:rPr>
        <w:t>县级人</w:t>
      </w:r>
      <w:r>
        <w:rPr>
          <w:rStyle w:val="7"/>
          <w:rFonts w:ascii="仿宋" w:hAnsi="仿宋" w:eastAsia="仿宋"/>
          <w:kern w:val="0"/>
          <w:sz w:val="28"/>
          <w:szCs w:val="28"/>
          <w:lang w:val="en-US" w:eastAsia="zh-CN" w:bidi="ar-SA"/>
        </w:rPr>
        <w:t>民检察院管辖的公益诉讼申诉案件。</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r>
        <w:rPr>
          <w:rStyle w:val="7"/>
          <w:rFonts w:ascii="仿宋" w:hAnsi="仿宋" w:eastAsia="仿宋"/>
          <w:b/>
          <w:kern w:val="2"/>
          <w:sz w:val="28"/>
          <w:szCs w:val="28"/>
          <w:lang w:val="en-US" w:eastAsia="zh-CN" w:bidi="ar-SA"/>
        </w:rPr>
        <w:t>7、第五检察部。</w:t>
      </w:r>
      <w:r>
        <w:rPr>
          <w:rStyle w:val="7"/>
          <w:rFonts w:ascii="仿宋" w:hAnsi="仿宋" w:eastAsia="仿宋"/>
          <w:kern w:val="2"/>
          <w:sz w:val="28"/>
          <w:szCs w:val="28"/>
          <w:lang w:val="en-US" w:eastAsia="zh-CN" w:bidi="ar-SA"/>
        </w:rPr>
        <w:t>负责受理向县级人民检察院的控告和申诉。承办县级人民检察院管辖的国家赔偿案件和国家司法救助案件。</w:t>
      </w:r>
    </w:p>
    <w:p>
      <w:pPr>
        <w:spacing w:line="600" w:lineRule="exact"/>
        <w:ind w:firstLine="544" w:firstLineChars="200"/>
        <w:jc w:val="both"/>
        <w:textAlignment w:val="baseline"/>
        <w:rPr>
          <w:rStyle w:val="7"/>
          <w:rFonts w:ascii="仿宋" w:hAnsi="仿宋" w:eastAsia="仿宋"/>
          <w:b/>
          <w:kern w:val="2"/>
          <w:sz w:val="28"/>
          <w:szCs w:val="28"/>
          <w:lang w:val="en-US" w:eastAsia="zh-CN" w:bidi="ar-SA"/>
        </w:rPr>
      </w:pPr>
      <w:r>
        <w:rPr>
          <w:rStyle w:val="7"/>
          <w:rFonts w:ascii="仿宋" w:hAnsi="仿宋" w:eastAsia="仿宋"/>
          <w:kern w:val="2"/>
          <w:sz w:val="28"/>
          <w:szCs w:val="28"/>
          <w:lang w:val="en-US" w:eastAsia="zh-CN" w:bidi="ar-SA"/>
        </w:rPr>
        <w:t>负责对法律规定由县级人民检察院办理的未成年人犯罪和侵害未成年人犯罪案件的审查逮捕、审查起诉、出庭支持公诉、提出（提请）抗诉，开展相关立案监督、侦查监督、审判监督以及相关案件的补充侦查，开展未成年人司法保护和预防未成年人犯罪工作。</w:t>
      </w:r>
    </w:p>
    <w:p>
      <w:pPr>
        <w:spacing w:line="600" w:lineRule="exact"/>
        <w:ind w:firstLine="544" w:firstLineChars="200"/>
        <w:jc w:val="both"/>
        <w:textAlignment w:val="baseline"/>
        <w:rPr>
          <w:rStyle w:val="7"/>
          <w:rFonts w:ascii="仿宋" w:hAnsi="仿宋" w:eastAsia="仿宋"/>
          <w:b/>
          <w:kern w:val="2"/>
          <w:sz w:val="28"/>
          <w:szCs w:val="28"/>
          <w:lang w:val="en-US" w:eastAsia="zh-CN" w:bidi="ar-SA"/>
        </w:rPr>
      </w:pPr>
      <w:r>
        <w:rPr>
          <w:rStyle w:val="7"/>
          <w:rFonts w:ascii="仿宋" w:hAnsi="仿宋" w:eastAsia="仿宋"/>
          <w:b/>
          <w:kern w:val="2"/>
          <w:sz w:val="28"/>
          <w:szCs w:val="28"/>
          <w:lang w:val="en-US" w:eastAsia="zh-CN" w:bidi="ar-SA"/>
        </w:rPr>
        <w:t>8、综合业务部。</w:t>
      </w:r>
      <w:r>
        <w:rPr>
          <w:rStyle w:val="7"/>
          <w:rFonts w:ascii="仿宋" w:hAnsi="仿宋" w:eastAsia="仿宋"/>
          <w:kern w:val="2"/>
          <w:sz w:val="28"/>
          <w:szCs w:val="28"/>
          <w:lang w:val="en-US" w:eastAsia="zh-CN" w:bidi="ar-SA"/>
        </w:rPr>
        <w:t>调查研究国家公布的与检察工作有关的法律、法规、政策在本院的执行情况，提出意见和建议。</w:t>
      </w:r>
      <w:r>
        <w:rPr>
          <w:rStyle w:val="7"/>
          <w:rFonts w:ascii="仿宋" w:hAnsi="仿宋" w:eastAsia="仿宋"/>
          <w:kern w:val="0"/>
          <w:sz w:val="28"/>
          <w:szCs w:val="28"/>
          <w:lang w:val="en-US" w:eastAsia="zh-CN" w:bidi="ar-SA"/>
        </w:rPr>
        <w:t>围绕检察业务工作中的重点、难点问题组织开展专题调研，审核本院出台的涉及业务工作的规范性文件，为领导决策提供参考意见。</w:t>
      </w:r>
      <w:r>
        <w:rPr>
          <w:rStyle w:val="7"/>
          <w:rFonts w:ascii="仿宋" w:hAnsi="仿宋" w:eastAsia="仿宋"/>
          <w:kern w:val="2"/>
          <w:sz w:val="28"/>
          <w:szCs w:val="28"/>
          <w:lang w:val="en-US" w:eastAsia="zh-CN" w:bidi="ar-SA"/>
        </w:rPr>
        <w:t>组织开展检察理论研究工作。负责司法体制改革综合协调相关工作。</w:t>
      </w:r>
      <w:r>
        <w:rPr>
          <w:rStyle w:val="7"/>
          <w:rFonts w:ascii="仿宋" w:hAnsi="仿宋" w:eastAsia="仿宋"/>
          <w:kern w:val="0"/>
          <w:sz w:val="28"/>
          <w:szCs w:val="28"/>
          <w:lang w:val="en-US" w:eastAsia="zh-CN" w:bidi="ar-SA"/>
        </w:rPr>
        <w:t>承担本院检察委员会和专家咨询日常工作。</w:t>
      </w:r>
    </w:p>
    <w:p>
      <w:pPr>
        <w:spacing w:line="600" w:lineRule="exact"/>
        <w:ind w:firstLine="544" w:firstLineChars="200"/>
        <w:jc w:val="both"/>
        <w:textAlignment w:val="baseline"/>
        <w:rPr>
          <w:rStyle w:val="7"/>
          <w:rFonts w:ascii="楷体_GB2312" w:hAnsi="仿宋_GB2312" w:eastAsia="楷体_GB2312"/>
          <w:color w:val="000000"/>
          <w:kern w:val="2"/>
          <w:sz w:val="32"/>
          <w:szCs w:val="32"/>
          <w:lang w:val="en-US" w:eastAsia="zh-CN" w:bidi="ar-SA"/>
        </w:rPr>
      </w:pPr>
      <w:r>
        <w:rPr>
          <w:rStyle w:val="7"/>
          <w:rFonts w:ascii="仿宋" w:hAnsi="仿宋" w:eastAsia="仿宋"/>
          <w:kern w:val="2"/>
          <w:sz w:val="28"/>
          <w:szCs w:val="28"/>
          <w:lang w:val="en-US" w:eastAsia="zh-CN" w:bidi="ar-SA"/>
        </w:rPr>
        <w:t>负责案件的统一受理流转、办案流程监控、涉案财物监管、法律文书监管、案件信息公开。统一组织案件质量评查、业务考评和业务统计分析研判。规范统一业务应用系统的应用。统筹规范司法。统一接待律师、诉讼代理人，保障律师执业权利。</w:t>
      </w:r>
    </w:p>
    <w:p>
      <w:pPr>
        <w:numPr>
          <w:ilvl w:val="0"/>
          <w:numId w:val="1"/>
        </w:numPr>
        <w:snapToGrid w:val="0"/>
        <w:spacing w:line="580" w:lineRule="exact"/>
        <w:ind w:left="0" w:leftChars="0"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2"/>
          <w:sz w:val="32"/>
          <w:szCs w:val="32"/>
          <w:lang w:val="en-US" w:eastAsia="zh-CN" w:bidi="ar-SA"/>
        </w:rPr>
        <w:t>伊川县人民检察院预算单</w:t>
      </w:r>
      <w:r>
        <w:rPr>
          <w:rStyle w:val="7"/>
          <w:rFonts w:hint="eastAsia" w:ascii="黑体" w:hAnsi="黑体" w:eastAsia="黑体"/>
          <w:color w:val="000000"/>
          <w:kern w:val="2"/>
          <w:sz w:val="32"/>
          <w:szCs w:val="32"/>
          <w:lang w:val="en-US" w:eastAsia="zh-CN" w:bidi="ar-SA"/>
        </w:rPr>
        <w:t>位</w:t>
      </w:r>
      <w:r>
        <w:rPr>
          <w:rStyle w:val="7"/>
          <w:rFonts w:ascii="黑体" w:hAnsi="黑体" w:eastAsia="黑体"/>
          <w:color w:val="000000"/>
          <w:kern w:val="2"/>
          <w:sz w:val="32"/>
          <w:szCs w:val="32"/>
          <w:lang w:val="en-US" w:eastAsia="zh-CN" w:bidi="ar-SA"/>
        </w:rPr>
        <w:t>构成</w:t>
      </w:r>
    </w:p>
    <w:p>
      <w:pPr>
        <w:spacing w:line="600" w:lineRule="exact"/>
        <w:ind w:firstLine="544" w:firstLineChars="200"/>
        <w:jc w:val="both"/>
        <w:textAlignment w:val="baseline"/>
        <w:rPr>
          <w:rStyle w:val="7"/>
          <w:rFonts w:hint="eastAsia" w:ascii="仿宋" w:hAnsi="仿宋" w:eastAsia="仿宋"/>
          <w:kern w:val="2"/>
          <w:sz w:val="28"/>
          <w:szCs w:val="28"/>
          <w:lang w:val="en-US" w:eastAsia="zh-CN" w:bidi="ar-SA"/>
        </w:rPr>
      </w:pPr>
      <w:r>
        <w:rPr>
          <w:rStyle w:val="7"/>
          <w:rFonts w:hint="eastAsia" w:ascii="仿宋" w:hAnsi="仿宋" w:eastAsia="仿宋"/>
          <w:kern w:val="2"/>
          <w:sz w:val="28"/>
          <w:szCs w:val="28"/>
          <w:lang w:val="en-US" w:eastAsia="zh-CN" w:bidi="ar-SA"/>
        </w:rPr>
        <w:t>单位共有实际人数87人，其中：行政70人，事业17人；离休1人，退休30人。</w:t>
      </w:r>
    </w:p>
    <w:p>
      <w:pPr>
        <w:spacing w:line="600" w:lineRule="exact"/>
        <w:ind w:firstLine="544" w:firstLineChars="200"/>
        <w:jc w:val="both"/>
        <w:textAlignment w:val="baseline"/>
        <w:rPr>
          <w:rStyle w:val="7"/>
          <w:rFonts w:ascii="仿宋" w:hAnsi="仿宋" w:eastAsia="仿宋"/>
          <w:kern w:val="2"/>
          <w:sz w:val="28"/>
          <w:szCs w:val="28"/>
          <w:lang w:val="en-US" w:eastAsia="zh-CN" w:bidi="ar-SA"/>
        </w:rPr>
      </w:pPr>
    </w:p>
    <w:p>
      <w:pPr>
        <w:widowControl/>
        <w:shd w:val="clear" w:color="auto" w:fill="FFFFFF"/>
        <w:spacing w:line="580" w:lineRule="exact"/>
        <w:ind w:firstLine="3438" w:firstLineChars="1102"/>
        <w:jc w:val="left"/>
        <w:textAlignment w:val="baseline"/>
        <w:rPr>
          <w:rStyle w:val="7"/>
          <w:rFonts w:ascii="仿宋_GB2312" w:hAnsi="仿宋_GB2312" w:eastAsia="仿宋_GB2312"/>
          <w:color w:val="000000"/>
          <w:kern w:val="2"/>
          <w:sz w:val="32"/>
          <w:szCs w:val="32"/>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r>
        <w:rPr>
          <w:rStyle w:val="7"/>
          <w:rFonts w:ascii="黑体" w:hAnsi="仿宋_GB2312" w:eastAsia="黑体" w:cs="仿宋_GB2312"/>
          <w:bCs/>
          <w:color w:val="000000"/>
          <w:kern w:val="2"/>
          <w:sz w:val="36"/>
          <w:szCs w:val="36"/>
          <w:lang w:val="en-US" w:eastAsia="zh-CN" w:bidi="ar-SA"/>
        </w:rPr>
        <w:t>第二部分</w:t>
      </w:r>
    </w:p>
    <w:p>
      <w:pPr>
        <w:widowControl/>
        <w:shd w:val="clear" w:color="auto" w:fill="FFFFFF"/>
        <w:spacing w:line="580" w:lineRule="exact"/>
        <w:jc w:val="center"/>
        <w:textAlignment w:val="baseline"/>
        <w:rPr>
          <w:rStyle w:val="7"/>
          <w:rFonts w:ascii="黑体" w:hAnsi="仿宋_GB2312" w:eastAsia="黑体" w:cs="仿宋_GB2312"/>
          <w:bCs/>
          <w:color w:val="000000"/>
          <w:kern w:val="2"/>
          <w:sz w:val="36"/>
          <w:szCs w:val="36"/>
          <w:lang w:val="en-US" w:eastAsia="zh-CN" w:bidi="ar-SA"/>
        </w:rPr>
      </w:pPr>
      <w:r>
        <w:rPr>
          <w:rStyle w:val="7"/>
          <w:rFonts w:ascii="黑体" w:hAnsi="仿宋_GB2312" w:eastAsia="黑体" w:cs="仿宋_GB2312"/>
          <w:bCs/>
          <w:color w:val="000000"/>
          <w:kern w:val="2"/>
          <w:sz w:val="36"/>
          <w:szCs w:val="36"/>
          <w:lang w:val="en-US" w:eastAsia="zh-CN" w:bidi="ar-SA"/>
        </w:rPr>
        <w:t>伊川县人民检察院2019年度部门预算情况说明</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p>
    <w:p>
      <w:pPr>
        <w:snapToGrid w:val="0"/>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2"/>
          <w:sz w:val="32"/>
          <w:szCs w:val="32"/>
          <w:lang w:val="en-US" w:eastAsia="zh-CN" w:bidi="ar-SA"/>
        </w:rPr>
        <w:t>一、收入支出预算总体情况说明</w:t>
      </w:r>
    </w:p>
    <w:p>
      <w:pPr>
        <w:snapToGrid w:val="0"/>
        <w:spacing w:line="580" w:lineRule="exact"/>
        <w:ind w:firstLine="624" w:firstLineChars="200"/>
        <w:jc w:val="both"/>
        <w:textAlignment w:val="baseline"/>
        <w:rPr>
          <w:rStyle w:val="7"/>
          <w:rFonts w:ascii="Arial" w:hAnsi="Arial"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伊川县人民检察院2019年收入1366.56万元，支出总计1366.56万元，与2018年相比，收、支总计各减少15.1万元，减少1.09%。主要原因：车辆减少及公用支出减少</w:t>
      </w:r>
      <w:r>
        <w:rPr>
          <w:rStyle w:val="7"/>
          <w:rFonts w:ascii="Arial" w:hAnsi="Arial" w:eastAsia="仿宋_GB2312"/>
          <w:color w:val="000000"/>
          <w:kern w:val="2"/>
          <w:sz w:val="32"/>
          <w:szCs w:val="32"/>
          <w:lang w:val="en-US" w:eastAsia="zh-CN" w:bidi="ar-SA"/>
        </w:rPr>
        <w:t xml:space="preserve">。  </w:t>
      </w:r>
    </w:p>
    <w:p>
      <w:pPr>
        <w:snapToGrid w:val="0"/>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2"/>
          <w:sz w:val="32"/>
          <w:szCs w:val="32"/>
          <w:lang w:val="en-US" w:eastAsia="zh-CN" w:bidi="ar-SA"/>
        </w:rPr>
        <w:t>二、收入预算总体情况说明</w:t>
      </w:r>
    </w:p>
    <w:p>
      <w:pPr>
        <w:widowControl/>
        <w:shd w:val="clear" w:color="auto" w:fill="FFFFFF"/>
        <w:spacing w:line="580" w:lineRule="exact"/>
        <w:ind w:firstLine="64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伊川县人民检察院2019年收入合计1366.56万元，其中：一般公共预算收入1147.56万元，上级专项拨款219万元</w:t>
      </w:r>
      <w:r>
        <w:rPr>
          <w:rStyle w:val="7"/>
          <w:rFonts w:ascii="Arial" w:hAnsi="Arial" w:eastAsia="仿宋_GB2312"/>
          <w:color w:val="000000"/>
          <w:kern w:val="2"/>
          <w:sz w:val="32"/>
          <w:szCs w:val="32"/>
          <w:lang w:val="en-US" w:eastAsia="zh-CN" w:bidi="ar-SA"/>
        </w:rPr>
        <w:t>。</w:t>
      </w:r>
      <w:r>
        <w:rPr>
          <w:rStyle w:val="7"/>
          <w:rFonts w:ascii="仿宋_GB2312" w:hAnsi="仿宋_GB2312" w:eastAsia="仿宋_GB2312"/>
          <w:color w:val="000000"/>
          <w:kern w:val="2"/>
          <w:sz w:val="32"/>
          <w:szCs w:val="32"/>
          <w:lang w:val="en-US" w:eastAsia="zh-CN" w:bidi="ar-SA"/>
        </w:rPr>
        <w:t xml:space="preserve"> </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黑体" w:hAnsi="黑体" w:eastAsia="黑体"/>
          <w:color w:val="000000"/>
          <w:kern w:val="2"/>
          <w:sz w:val="32"/>
          <w:szCs w:val="32"/>
          <w:lang w:val="en-US" w:eastAsia="zh-CN" w:bidi="ar-SA"/>
        </w:rPr>
        <w:t>三、支出预算总体情况说明</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 xml:space="preserve">伊川县人民检察院2019年支出合计1366.56万元，其中：基本支出858.16万元，占62.8%；项目支出508.4万元，占37.2%。 </w:t>
      </w:r>
    </w:p>
    <w:p>
      <w:pPr>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2"/>
          <w:sz w:val="32"/>
          <w:szCs w:val="32"/>
          <w:lang w:val="en-US" w:eastAsia="zh-CN" w:bidi="ar-SA"/>
        </w:rPr>
        <w:t>四、财政拨款收入支出预算总体情况说明</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伊川县人民检察院2019年一般公共预算收支预算1366.56万元。与 2018年相比，一般公共预算收支预算减少15.1万元，减少1.09%。主要原因：车辆减少及公用支出减少。</w:t>
      </w:r>
    </w:p>
    <w:p>
      <w:pPr>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2"/>
          <w:sz w:val="32"/>
          <w:szCs w:val="32"/>
          <w:lang w:val="en-US" w:eastAsia="zh-CN" w:bidi="ar-SA"/>
        </w:rPr>
        <w:t>五、一般公共预算支出预算情况说明</w:t>
      </w:r>
    </w:p>
    <w:p>
      <w:pPr>
        <w:widowControl/>
        <w:spacing w:line="580" w:lineRule="exact"/>
        <w:ind w:firstLine="622"/>
        <w:jc w:val="both"/>
        <w:textAlignment w:val="baseline"/>
        <w:rPr>
          <w:rStyle w:val="7"/>
          <w:rFonts w:ascii="仿宋_GB2312" w:hAnsi="仿宋_GB2312" w:eastAsia="仿宋_GB2312"/>
          <w:color w:val="000000"/>
          <w:kern w:val="0"/>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伊川县人民检察院2019年一般公共预算支出年初预算为1147.56万元。主要用于以下方面：一般公共服务支出743.72万元，占64.81%；检察监督8万元，占0.69%；其他检察支出236万元，占20.57%</w:t>
      </w:r>
      <w:r>
        <w:rPr>
          <w:rStyle w:val="7"/>
          <w:rFonts w:ascii="仿宋_GB2312" w:hAnsi="仿宋_GB2312" w:eastAsia="仿宋_GB2312"/>
          <w:color w:val="000000"/>
          <w:kern w:val="0"/>
          <w:sz w:val="32"/>
          <w:szCs w:val="32"/>
          <w:lang w:val="en-US" w:eastAsia="zh-CN" w:bidi="ar-SA"/>
        </w:rPr>
        <w:t>；对个人和家庭补助支出17.54万元，占1.52%；社会保障和就业支出96.89万元，占8.45%；医疗卫生与计划生育支出45.41万元，占3.96%。</w:t>
      </w:r>
    </w:p>
    <w:p>
      <w:pPr>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0"/>
          <w:sz w:val="32"/>
          <w:szCs w:val="32"/>
          <w:lang w:val="en-US" w:eastAsia="zh-CN" w:bidi="ar-SA"/>
        </w:rPr>
        <w:t>六、一般公共预算基本支出预算情况说明</w:t>
      </w:r>
    </w:p>
    <w:p>
      <w:pPr>
        <w:widowControl/>
        <w:spacing w:line="580" w:lineRule="exact"/>
        <w:ind w:firstLine="622"/>
        <w:jc w:val="both"/>
        <w:textAlignment w:val="baseline"/>
        <w:rPr>
          <w:rStyle w:val="7"/>
          <w:rFonts w:ascii="仿宋_GB2312" w:hAnsi="仿宋_GB2312" w:eastAsia="仿宋_GB2312"/>
          <w:color w:val="000000"/>
          <w:kern w:val="0"/>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伊川县人民检察院2019年一般公共预算基本支出</w:t>
      </w:r>
      <w:r>
        <w:rPr>
          <w:rStyle w:val="7"/>
          <w:rFonts w:ascii="仿宋_GB2312" w:hAnsi="仿宋_GB2312" w:eastAsia="仿宋_GB2312"/>
          <w:color w:val="000000"/>
          <w:kern w:val="0"/>
          <w:sz w:val="32"/>
          <w:szCs w:val="32"/>
          <w:lang w:val="en-US" w:eastAsia="zh-CN" w:bidi="ar-SA"/>
        </w:rPr>
        <w:t>1147.56</w:t>
      </w:r>
      <w:r>
        <w:rPr>
          <w:rStyle w:val="7"/>
          <w:rFonts w:ascii="仿宋_GB2312" w:hAnsi="仿宋_GB2312" w:eastAsia="仿宋_GB2312"/>
          <w:color w:val="000000"/>
          <w:kern w:val="2"/>
          <w:sz w:val="32"/>
          <w:szCs w:val="32"/>
          <w:lang w:val="en-US" w:eastAsia="zh-CN" w:bidi="ar-SA"/>
        </w:rPr>
        <w:t>万元，其中：人员经费836.2万元，基本工资、津贴补贴、奖金、绩效工资、机关事业单位基本养老保险缴费、职业年金缴费、医疗保险缴费、其他社会保障缴费、住房公积金、其他工资福利支出、离休费、退休费、其他对个人和家庭的补助支出；公用经费311.36万元，主要包括：办公费、印刷费、咨询费、手续费、水费、电费、邮</w:t>
      </w:r>
      <w:r>
        <w:rPr>
          <w:rStyle w:val="7"/>
          <w:rFonts w:ascii="仿宋_GB2312" w:hAnsi="仿宋_GB2312" w:eastAsia="仿宋_GB2312"/>
          <w:color w:val="000000"/>
          <w:kern w:val="0"/>
          <w:sz w:val="32"/>
          <w:szCs w:val="32"/>
          <w:lang w:val="en-US" w:eastAsia="zh-CN" w:bidi="ar-SA"/>
        </w:rPr>
        <w:t>电费、取暖费、物业管理费、差旅费、因公出国（境）费、维修（护）费、租赁费、会议费、培训费、公务接待费、专用材料费、专用燃料费、劳务费、委托业务费、福利费、公务用车运行维护费、其他交通费用、税金及附加费用、其他商品和服务支出、债务利息、办公设备购置、专用设备购置、基础设施建设、大型修缮、信息网络及软件购置更新、公务用车购置、其他资本性支出和其他支出。</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黑体" w:hAnsi="黑体" w:eastAsia="黑体"/>
          <w:color w:val="000000"/>
          <w:kern w:val="0"/>
          <w:sz w:val="32"/>
          <w:szCs w:val="32"/>
          <w:lang w:val="en-US" w:eastAsia="zh-CN" w:bidi="ar-SA"/>
        </w:rPr>
        <w:t>七、政府性基金预算支出预算情况说明</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我单位2019年没有使用政府性基金预算拨款安排的支出。</w:t>
      </w:r>
    </w:p>
    <w:p>
      <w:pPr>
        <w:spacing w:line="580" w:lineRule="exact"/>
        <w:ind w:firstLine="624" w:firstLineChars="200"/>
        <w:jc w:val="both"/>
        <w:textAlignment w:val="baseline"/>
        <w:rPr>
          <w:rStyle w:val="7"/>
          <w:rFonts w:ascii="黑体" w:hAnsi="黑体" w:eastAsia="黑体"/>
          <w:color w:val="000000"/>
          <w:kern w:val="0"/>
          <w:sz w:val="32"/>
          <w:szCs w:val="32"/>
          <w:lang w:val="en-US" w:eastAsia="zh-CN" w:bidi="ar-SA"/>
        </w:rPr>
      </w:pPr>
      <w:r>
        <w:rPr>
          <w:rStyle w:val="7"/>
          <w:rFonts w:ascii="黑体" w:hAnsi="黑体" w:eastAsia="黑体"/>
          <w:color w:val="000000"/>
          <w:kern w:val="2"/>
          <w:sz w:val="32"/>
          <w:szCs w:val="32"/>
          <w:lang w:val="en-US" w:eastAsia="zh-CN" w:bidi="ar-SA"/>
        </w:rPr>
        <w:t>八、</w:t>
      </w:r>
      <w:r>
        <w:rPr>
          <w:rStyle w:val="7"/>
          <w:rFonts w:ascii="黑体" w:hAnsi="黑体" w:eastAsia="黑体"/>
          <w:color w:val="000000"/>
          <w:kern w:val="0"/>
          <w:sz w:val="32"/>
          <w:szCs w:val="32"/>
          <w:lang w:val="en-US" w:eastAsia="zh-CN" w:bidi="ar-SA"/>
        </w:rPr>
        <w:t>国有资本经营预算支出预算情况说明</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我单位2019年没有使用国有资本经营预算拨款安排的支出。</w:t>
      </w:r>
    </w:p>
    <w:p>
      <w:pPr>
        <w:spacing w:line="580" w:lineRule="exact"/>
        <w:ind w:firstLine="624" w:firstLineChars="200"/>
        <w:jc w:val="both"/>
        <w:textAlignment w:val="baseline"/>
        <w:rPr>
          <w:rStyle w:val="7"/>
          <w:rFonts w:ascii="黑体" w:hAnsi="黑体" w:eastAsia="黑体"/>
          <w:color w:val="000000"/>
          <w:kern w:val="2"/>
          <w:sz w:val="32"/>
          <w:szCs w:val="32"/>
          <w:lang w:val="en-US" w:eastAsia="zh-CN" w:bidi="ar-SA"/>
        </w:rPr>
      </w:pPr>
      <w:r>
        <w:rPr>
          <w:rStyle w:val="7"/>
          <w:rFonts w:ascii="黑体" w:hAnsi="黑体" w:eastAsia="黑体"/>
          <w:color w:val="000000"/>
          <w:kern w:val="0"/>
          <w:sz w:val="32"/>
          <w:szCs w:val="32"/>
          <w:lang w:val="en-US" w:eastAsia="zh-CN" w:bidi="ar-SA"/>
        </w:rPr>
        <w:t>九、“三公”经费支出预算情况说明</w:t>
      </w:r>
    </w:p>
    <w:p>
      <w:pPr>
        <w:widowControl/>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伊川县人民检察院2019年“三公”经费预算为</w:t>
      </w:r>
      <w:r>
        <w:rPr>
          <w:rStyle w:val="7"/>
          <w:rFonts w:ascii="仿宋_GB2312" w:hAnsi="仿宋_GB2312" w:eastAsia="仿宋_GB2312"/>
          <w:color w:val="000000"/>
          <w:kern w:val="0"/>
          <w:sz w:val="32"/>
          <w:szCs w:val="32"/>
          <w:lang w:val="en-US" w:eastAsia="zh-CN" w:bidi="ar-SA"/>
        </w:rPr>
        <w:t>41.8</w:t>
      </w:r>
      <w:r>
        <w:rPr>
          <w:rStyle w:val="7"/>
          <w:rFonts w:ascii="仿宋_GB2312" w:hAnsi="仿宋_GB2312" w:eastAsia="仿宋_GB2312"/>
          <w:color w:val="000000"/>
          <w:kern w:val="2"/>
          <w:sz w:val="32"/>
          <w:szCs w:val="32"/>
          <w:lang w:val="en-US" w:eastAsia="zh-CN" w:bidi="ar-SA"/>
        </w:rPr>
        <w:t>万元。 比 2018年预算数减少39.88万元，下降48.82</w:t>
      </w:r>
      <w:r>
        <w:rPr>
          <w:rStyle w:val="7"/>
          <w:rFonts w:ascii="仿宋_GB2312" w:hAnsi="仿宋_GB2312" w:eastAsia="仿宋_GB2312"/>
          <w:color w:val="000000"/>
          <w:kern w:val="0"/>
          <w:sz w:val="32"/>
          <w:szCs w:val="32"/>
          <w:lang w:val="en-US" w:eastAsia="zh-CN" w:bidi="ar-SA"/>
        </w:rPr>
        <w:t>%</w:t>
      </w:r>
      <w:r>
        <w:rPr>
          <w:rStyle w:val="7"/>
          <w:rFonts w:ascii="仿宋_GB2312" w:hAnsi="仿宋_GB2312" w:eastAsia="仿宋_GB2312"/>
          <w:color w:val="000000"/>
          <w:kern w:val="2"/>
          <w:sz w:val="32"/>
          <w:szCs w:val="32"/>
          <w:lang w:val="en-US" w:eastAsia="zh-CN" w:bidi="ar-SA"/>
        </w:rPr>
        <w:t>。</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具体支出情况如下：</w:t>
      </w:r>
    </w:p>
    <w:p>
      <w:pPr>
        <w:numPr>
          <w:ilvl w:val="0"/>
          <w:numId w:val="3"/>
        </w:numPr>
        <w:snapToGrid w:val="0"/>
        <w:spacing w:line="580" w:lineRule="exact"/>
        <w:ind w:firstLine="620"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楷体_GB2312" w:hAnsi="仿宋_GB2312" w:eastAsia="楷体_GB2312"/>
          <w:color w:val="000000"/>
          <w:spacing w:val="-1"/>
          <w:kern w:val="0"/>
          <w:sz w:val="32"/>
          <w:szCs w:val="32"/>
          <w:lang w:val="en-US" w:eastAsia="zh-CN" w:bidi="ar-SA"/>
        </w:rPr>
        <w:t>因公出国（境）费</w:t>
      </w:r>
      <w:r>
        <w:rPr>
          <w:rStyle w:val="7"/>
          <w:rFonts w:ascii="楷体_GB2312" w:hAnsi="仿宋_GB2312" w:eastAsia="楷体_GB2312"/>
          <w:color w:val="000000"/>
          <w:kern w:val="2"/>
          <w:sz w:val="32"/>
          <w:szCs w:val="32"/>
          <w:lang w:val="en-US" w:eastAsia="zh-CN" w:bidi="ar-SA"/>
        </w:rPr>
        <w:t xml:space="preserve"> </w:t>
      </w:r>
      <w:r>
        <w:rPr>
          <w:rStyle w:val="7"/>
          <w:rFonts w:ascii="仿宋_GB2312" w:hAnsi="仿宋_GB2312" w:eastAsia="仿宋_GB2312"/>
          <w:color w:val="000000"/>
          <w:kern w:val="0"/>
          <w:sz w:val="32"/>
          <w:szCs w:val="32"/>
          <w:lang w:val="en-US" w:eastAsia="zh-CN" w:bidi="ar-SA"/>
        </w:rPr>
        <w:t>0</w:t>
      </w:r>
      <w:r>
        <w:rPr>
          <w:rStyle w:val="7"/>
          <w:rFonts w:ascii="仿宋_GB2312" w:hAnsi="仿宋_GB2312" w:eastAsia="仿宋_GB2312"/>
          <w:color w:val="000000"/>
          <w:kern w:val="2"/>
          <w:sz w:val="32"/>
          <w:szCs w:val="32"/>
          <w:lang w:val="en-US" w:eastAsia="zh-CN" w:bidi="ar-SA"/>
        </w:rPr>
        <w:t>万元。</w:t>
      </w:r>
      <w:r>
        <w:rPr>
          <w:rFonts w:hint="eastAsia" w:ascii="仿宋_GB2312" w:hAnsi="仿宋_GB2312" w:eastAsia="仿宋_GB2312" w:cs="仿宋_GB2312"/>
          <w:color w:val="000000"/>
          <w:sz w:val="32"/>
          <w:szCs w:val="32"/>
          <w:lang w:val="en-US" w:eastAsia="zh-CN"/>
        </w:rPr>
        <w:t>预算数比2018年减少（增加）0万元，下降（增长）0%，主要原因：无该项支出。</w:t>
      </w:r>
    </w:p>
    <w:p>
      <w:pPr>
        <w:numPr>
          <w:ilvl w:val="0"/>
          <w:numId w:val="3"/>
        </w:numPr>
        <w:snapToGrid w:val="0"/>
        <w:spacing w:line="580" w:lineRule="exact"/>
        <w:ind w:firstLine="620"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楷体_GB2312" w:hAnsi="仿宋_GB2312" w:eastAsia="楷体_GB2312"/>
          <w:color w:val="000000"/>
          <w:spacing w:val="-1"/>
          <w:kern w:val="0"/>
          <w:sz w:val="32"/>
          <w:szCs w:val="32"/>
          <w:lang w:val="en-US" w:eastAsia="zh-CN" w:bidi="ar-SA"/>
        </w:rPr>
        <w:t>公务用车购置及运行费</w:t>
      </w:r>
      <w:r>
        <w:rPr>
          <w:rStyle w:val="7"/>
          <w:rFonts w:ascii="仿宋_GB2312" w:hAnsi="仿宋_GB2312" w:eastAsia="仿宋_GB2312"/>
          <w:color w:val="000000"/>
          <w:kern w:val="0"/>
          <w:sz w:val="32"/>
          <w:szCs w:val="32"/>
          <w:lang w:val="en-US" w:eastAsia="zh-CN" w:bidi="ar-SA"/>
        </w:rPr>
        <w:t>40.4万</w:t>
      </w:r>
      <w:r>
        <w:rPr>
          <w:rStyle w:val="7"/>
          <w:rFonts w:ascii="仿宋_GB2312" w:hAnsi="仿宋_GB2312" w:eastAsia="仿宋_GB2312"/>
          <w:color w:val="000000"/>
          <w:kern w:val="2"/>
          <w:sz w:val="32"/>
          <w:szCs w:val="32"/>
          <w:lang w:val="en-US" w:eastAsia="zh-CN" w:bidi="ar-SA"/>
        </w:rPr>
        <w:t>元。公务用车运行维护费40.4</w:t>
      </w:r>
      <w:r>
        <w:rPr>
          <w:rStyle w:val="7"/>
          <w:rFonts w:ascii="仿宋_GB2312" w:hAnsi="仿宋_GB2312" w:eastAsia="仿宋_GB2312"/>
          <w:color w:val="000000"/>
          <w:kern w:val="0"/>
          <w:sz w:val="32"/>
          <w:szCs w:val="32"/>
          <w:lang w:val="en-US" w:eastAsia="zh-CN" w:bidi="ar-SA"/>
        </w:rPr>
        <w:t>万元</w:t>
      </w:r>
      <w:r>
        <w:rPr>
          <w:rStyle w:val="7"/>
          <w:rFonts w:ascii="仿宋_GB2312" w:hAnsi="仿宋_GB2312" w:eastAsia="仿宋_GB2312"/>
          <w:color w:val="000000"/>
          <w:kern w:val="2"/>
          <w:sz w:val="32"/>
          <w:szCs w:val="32"/>
          <w:lang w:val="en-US" w:eastAsia="zh-CN" w:bidi="ar-SA"/>
        </w:rPr>
        <w:t>，主要用于</w:t>
      </w:r>
      <w:r>
        <w:rPr>
          <w:rStyle w:val="7"/>
          <w:rFonts w:ascii="仿宋_GB2312" w:hAnsi="仿宋_GB2312" w:eastAsia="仿宋_GB2312"/>
          <w:color w:val="000000"/>
          <w:kern w:val="0"/>
          <w:sz w:val="32"/>
          <w:szCs w:val="32"/>
          <w:lang w:val="en-US" w:eastAsia="zh-CN" w:bidi="ar-SA"/>
        </w:rPr>
        <w:t>车辆燃油、维护及保险支出</w:t>
      </w:r>
      <w:r>
        <w:rPr>
          <w:rStyle w:val="7"/>
          <w:rFonts w:ascii="仿宋_GB2312" w:hAnsi="仿宋_GB2312" w:eastAsia="仿宋_GB2312"/>
          <w:color w:val="000000"/>
          <w:kern w:val="2"/>
          <w:sz w:val="32"/>
          <w:szCs w:val="32"/>
          <w:lang w:val="en-US" w:eastAsia="zh-CN" w:bidi="ar-SA"/>
        </w:rPr>
        <w:t>,比2018年减少39.6</w:t>
      </w:r>
      <w:r>
        <w:rPr>
          <w:rStyle w:val="7"/>
          <w:rFonts w:ascii="仿宋_GB2312" w:hAnsi="仿宋_GB2312" w:eastAsia="仿宋_GB2312"/>
          <w:color w:val="000000"/>
          <w:kern w:val="0"/>
          <w:sz w:val="32"/>
          <w:szCs w:val="32"/>
          <w:lang w:val="en-US" w:eastAsia="zh-CN" w:bidi="ar-SA"/>
        </w:rPr>
        <w:t>万元，较上年下降49.5%，主要原因：车辆减少。</w:t>
      </w:r>
    </w:p>
    <w:p>
      <w:pPr>
        <w:spacing w:line="580" w:lineRule="exact"/>
        <w:ind w:firstLine="620"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楷体_GB2312" w:hAnsi="仿宋_GB2312" w:eastAsia="楷体_GB2312"/>
          <w:color w:val="000000"/>
          <w:spacing w:val="-1"/>
          <w:kern w:val="0"/>
          <w:sz w:val="32"/>
          <w:szCs w:val="32"/>
          <w:lang w:val="en-US" w:eastAsia="zh-CN" w:bidi="ar-SA"/>
        </w:rPr>
        <w:t>（三）公务接待费</w:t>
      </w:r>
      <w:r>
        <w:rPr>
          <w:rStyle w:val="7"/>
          <w:rFonts w:ascii="仿宋_GB2312" w:hAnsi="仿宋_GB2312" w:eastAsia="仿宋_GB2312"/>
          <w:color w:val="000000"/>
          <w:kern w:val="0"/>
          <w:sz w:val="32"/>
          <w:szCs w:val="32"/>
          <w:lang w:val="en-US" w:eastAsia="zh-CN" w:bidi="ar-SA"/>
        </w:rPr>
        <w:t>1.4</w:t>
      </w:r>
      <w:r>
        <w:rPr>
          <w:rStyle w:val="7"/>
          <w:rFonts w:ascii="仿宋_GB2312" w:hAnsi="仿宋_GB2312" w:eastAsia="仿宋_GB2312"/>
          <w:color w:val="000000"/>
          <w:kern w:val="2"/>
          <w:sz w:val="32"/>
          <w:szCs w:val="32"/>
          <w:lang w:val="en-US" w:eastAsia="zh-CN" w:bidi="ar-SA"/>
        </w:rPr>
        <w:t>万元，主要用于</w:t>
      </w:r>
      <w:r>
        <w:rPr>
          <w:rStyle w:val="7"/>
          <w:rFonts w:ascii="仿宋_GB2312" w:hAnsi="仿宋_GB2312" w:eastAsia="仿宋_GB2312"/>
          <w:color w:val="000000"/>
          <w:kern w:val="0"/>
          <w:sz w:val="32"/>
          <w:szCs w:val="32"/>
          <w:lang w:val="en-US" w:eastAsia="zh-CN" w:bidi="ar-SA"/>
        </w:rPr>
        <w:t>公务接待，比2018年预算数减少0.28万元，下降16.67%，主要原因公务接待次数及人次减少。</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黑体" w:hAnsi="黑体" w:eastAsia="黑体"/>
          <w:color w:val="000000"/>
          <w:kern w:val="0"/>
          <w:sz w:val="32"/>
          <w:szCs w:val="32"/>
          <w:lang w:val="en-US" w:eastAsia="zh-CN" w:bidi="ar-SA"/>
        </w:rPr>
        <w:t xml:space="preserve"> </w:t>
      </w:r>
      <w:r>
        <w:rPr>
          <w:rStyle w:val="7"/>
          <w:rFonts w:ascii="黑体" w:hAnsi="黑体" w:eastAsia="黑体"/>
          <w:color w:val="000000"/>
          <w:spacing w:val="-1"/>
          <w:kern w:val="0"/>
          <w:sz w:val="32"/>
          <w:szCs w:val="32"/>
          <w:lang w:val="en-US" w:eastAsia="zh-CN" w:bidi="ar-SA"/>
        </w:rPr>
        <w:t>十、其他重要事项的情况说明</w:t>
      </w:r>
    </w:p>
    <w:p>
      <w:pPr>
        <w:snapToGrid w:val="0"/>
        <w:spacing w:line="580" w:lineRule="exact"/>
        <w:ind w:firstLine="624" w:firstLineChars="200"/>
        <w:jc w:val="both"/>
        <w:textAlignment w:val="baseline"/>
        <w:rPr>
          <w:rStyle w:val="7"/>
          <w:rFonts w:ascii="楷体_GB2312" w:hAnsi="仿宋_GB2312" w:eastAsia="楷体_GB2312"/>
          <w:color w:val="000000"/>
          <w:kern w:val="2"/>
          <w:sz w:val="32"/>
          <w:szCs w:val="32"/>
          <w:lang w:val="en-US" w:eastAsia="zh-CN" w:bidi="ar-SA"/>
        </w:rPr>
      </w:pPr>
      <w:r>
        <w:rPr>
          <w:rStyle w:val="7"/>
          <w:rFonts w:ascii="楷体_GB2312" w:hAnsi="仿宋_GB2312" w:eastAsia="楷体_GB2312"/>
          <w:color w:val="000000"/>
          <w:kern w:val="0"/>
          <w:sz w:val="32"/>
          <w:szCs w:val="32"/>
          <w:lang w:val="en-US" w:eastAsia="zh-CN" w:bidi="ar-SA"/>
        </w:rPr>
        <w:t>（一）机关运行经费支出情况</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伊川县人民检察院2019年机关运行经费支出预算</w:t>
      </w:r>
      <w:r>
        <w:rPr>
          <w:rStyle w:val="7"/>
          <w:rFonts w:ascii="仿宋_GB2312" w:hAnsi="仿宋_GB2312" w:eastAsia="仿宋_GB2312"/>
          <w:color w:val="000000"/>
          <w:kern w:val="0"/>
          <w:sz w:val="32"/>
          <w:szCs w:val="32"/>
          <w:lang w:val="en-US" w:eastAsia="zh-CN" w:bidi="ar-SA"/>
        </w:rPr>
        <w:t>21.94</w:t>
      </w:r>
      <w:r>
        <w:rPr>
          <w:rStyle w:val="7"/>
          <w:rFonts w:ascii="仿宋_GB2312" w:hAnsi="仿宋_GB2312" w:eastAsia="仿宋_GB2312"/>
          <w:color w:val="000000"/>
          <w:kern w:val="2"/>
          <w:sz w:val="32"/>
          <w:szCs w:val="32"/>
          <w:lang w:val="en-US" w:eastAsia="zh-CN" w:bidi="ar-SA"/>
        </w:rPr>
        <w:t>万元，主要保障机关机构正常运转及正常履职需要的办公费、水电费、物业费、维修费、差旅费等支出，比2018年减少0.4</w:t>
      </w:r>
      <w:r>
        <w:rPr>
          <w:rStyle w:val="7"/>
          <w:rFonts w:ascii="仿宋_GB2312" w:hAnsi="仿宋_GB2312" w:eastAsia="仿宋_GB2312"/>
          <w:color w:val="000000"/>
          <w:kern w:val="0"/>
          <w:sz w:val="32"/>
          <w:szCs w:val="32"/>
          <w:lang w:val="en-US" w:eastAsia="zh-CN" w:bidi="ar-SA"/>
        </w:rPr>
        <w:t>万元，下降1.79%，主要原因：开展节约型检察机关活动，节约办公用品及水电费等</w:t>
      </w:r>
      <w:r>
        <w:rPr>
          <w:rStyle w:val="7"/>
          <w:rFonts w:ascii="仿宋_GB2312" w:hAnsi="仿宋_GB2312" w:eastAsia="仿宋_GB2312"/>
          <w:color w:val="000000"/>
          <w:kern w:val="2"/>
          <w:sz w:val="32"/>
          <w:szCs w:val="32"/>
          <w:lang w:val="en-US" w:eastAsia="zh-CN" w:bidi="ar-SA"/>
        </w:rPr>
        <w:t>。</w:t>
      </w:r>
    </w:p>
    <w:p>
      <w:pPr>
        <w:snapToGrid w:val="0"/>
        <w:spacing w:line="580" w:lineRule="exact"/>
        <w:ind w:firstLine="624" w:firstLineChars="200"/>
        <w:jc w:val="both"/>
        <w:textAlignment w:val="baseline"/>
        <w:rPr>
          <w:rStyle w:val="7"/>
          <w:rFonts w:ascii="楷体_GB2312" w:hAnsi="仿宋_GB2312" w:eastAsia="楷体_GB2312"/>
          <w:color w:val="000000"/>
          <w:kern w:val="0"/>
          <w:sz w:val="32"/>
          <w:szCs w:val="32"/>
          <w:lang w:val="en-US" w:eastAsia="zh-CN" w:bidi="ar-SA"/>
        </w:rPr>
      </w:pPr>
      <w:r>
        <w:rPr>
          <w:rStyle w:val="7"/>
          <w:rFonts w:ascii="楷体_GB2312" w:hAnsi="仿宋_GB2312" w:eastAsia="楷体_GB2312"/>
          <w:color w:val="000000"/>
          <w:kern w:val="0"/>
          <w:sz w:val="32"/>
          <w:szCs w:val="32"/>
          <w:lang w:val="en-US" w:eastAsia="zh-CN" w:bidi="ar-SA"/>
        </w:rPr>
        <w:t>（二）政府采购支出情况</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2019年政府采购预算安排</w:t>
      </w:r>
      <w:r>
        <w:rPr>
          <w:rStyle w:val="7"/>
          <w:rFonts w:ascii="仿宋_GB2312" w:hAnsi="仿宋_GB2312" w:eastAsia="仿宋_GB2312"/>
          <w:color w:val="000000"/>
          <w:kern w:val="0"/>
          <w:sz w:val="32"/>
          <w:szCs w:val="32"/>
          <w:lang w:val="en-US" w:eastAsia="zh-CN" w:bidi="ar-SA"/>
        </w:rPr>
        <w:t>144</w:t>
      </w:r>
      <w:r>
        <w:rPr>
          <w:rStyle w:val="7"/>
          <w:rFonts w:ascii="仿宋_GB2312" w:hAnsi="仿宋_GB2312" w:eastAsia="仿宋_GB2312"/>
          <w:color w:val="000000"/>
          <w:kern w:val="2"/>
          <w:sz w:val="32"/>
          <w:szCs w:val="32"/>
          <w:lang w:val="en-US" w:eastAsia="zh-CN" w:bidi="ar-SA"/>
        </w:rPr>
        <w:t>万元，其中：</w:t>
      </w:r>
      <w:r>
        <w:rPr>
          <w:rStyle w:val="7"/>
          <w:rFonts w:ascii="仿宋_GB2312" w:hAnsi="仿宋_GB2312" w:eastAsia="仿宋_GB2312"/>
          <w:color w:val="000000"/>
          <w:kern w:val="0"/>
          <w:sz w:val="32"/>
          <w:szCs w:val="32"/>
          <w:lang w:val="en-US" w:eastAsia="zh-CN" w:bidi="ar-SA"/>
        </w:rPr>
        <w:t>政府采购货物预算144万元。</w:t>
      </w:r>
    </w:p>
    <w:p>
      <w:pPr>
        <w:snapToGrid w:val="0"/>
        <w:spacing w:line="580" w:lineRule="exact"/>
        <w:ind w:firstLine="624" w:firstLineChars="200"/>
        <w:jc w:val="both"/>
        <w:textAlignment w:val="baseline"/>
        <w:rPr>
          <w:rStyle w:val="7"/>
          <w:rFonts w:ascii="楷体_GB2312" w:hAnsi="仿宋_GB2312" w:eastAsia="楷体_GB2312"/>
          <w:color w:val="000000"/>
          <w:kern w:val="0"/>
          <w:sz w:val="32"/>
          <w:szCs w:val="32"/>
          <w:lang w:val="en-US" w:eastAsia="zh-CN" w:bidi="ar-SA"/>
        </w:rPr>
      </w:pPr>
      <w:r>
        <w:rPr>
          <w:rStyle w:val="7"/>
          <w:rFonts w:ascii="楷体_GB2312" w:hAnsi="仿宋_GB2312" w:eastAsia="楷体_GB2312"/>
          <w:color w:val="000000"/>
          <w:kern w:val="0"/>
          <w:sz w:val="32"/>
          <w:szCs w:val="32"/>
          <w:lang w:val="en-US" w:eastAsia="zh-CN" w:bidi="ar-SA"/>
        </w:rPr>
        <w:t>（三）关于预算绩效管理工作开展情况说明</w:t>
      </w:r>
    </w:p>
    <w:p>
      <w:pPr>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2018年,我部门对1个项目进行了预算绩效评价，涉及资金278万元。</w:t>
      </w:r>
      <w:r>
        <w:rPr>
          <w:rStyle w:val="7"/>
          <w:rFonts w:ascii="Calibri" w:hAnsi="Calibri" w:eastAsia="宋体"/>
          <w:color w:val="000000"/>
          <w:kern w:val="2"/>
          <w:sz w:val="28"/>
          <w:szCs w:val="28"/>
          <w:lang w:val="en-US" w:eastAsia="zh-CN" w:bidi="ar-SA"/>
        </w:rPr>
        <w:t xml:space="preserve"> </w:t>
      </w:r>
      <w:r>
        <w:rPr>
          <w:rStyle w:val="7"/>
          <w:rFonts w:ascii="仿宋_GB2312" w:hAnsi="仿宋_GB2312" w:eastAsia="仿宋_GB2312"/>
          <w:color w:val="000000"/>
          <w:kern w:val="2"/>
          <w:sz w:val="32"/>
          <w:szCs w:val="32"/>
          <w:lang w:val="en-US" w:eastAsia="zh-CN" w:bidi="ar-SA"/>
        </w:rPr>
        <w:t xml:space="preserve">2019年，我部门纳入预算绩效管理的支出总额为219万元。 </w:t>
      </w:r>
    </w:p>
    <w:p>
      <w:pPr>
        <w:spacing w:line="580" w:lineRule="exact"/>
        <w:ind w:left="404" w:leftChars="200"/>
        <w:jc w:val="both"/>
        <w:textAlignment w:val="baseline"/>
        <w:rPr>
          <w:rStyle w:val="7"/>
          <w:rFonts w:ascii="楷体_GB2312" w:hAnsi="仿宋_GB2312" w:eastAsia="楷体_GB2312" w:cs="仿宋_GB2312"/>
          <w:bCs/>
          <w:color w:val="000000"/>
          <w:kern w:val="2"/>
          <w:sz w:val="32"/>
          <w:szCs w:val="32"/>
          <w:lang w:val="en-US" w:eastAsia="zh-CN" w:bidi="ar-SA"/>
        </w:rPr>
      </w:pPr>
      <w:r>
        <w:rPr>
          <w:rStyle w:val="7"/>
          <w:rFonts w:ascii="楷体_GB2312" w:hAnsi="仿宋_GB2312" w:eastAsia="楷体_GB2312" w:cs="仿宋_GB2312"/>
          <w:bCs/>
          <w:color w:val="000000"/>
          <w:kern w:val="2"/>
          <w:sz w:val="32"/>
          <w:szCs w:val="32"/>
          <w:lang w:val="en-US" w:eastAsia="zh-CN" w:bidi="ar-SA"/>
        </w:rPr>
        <w:t>（四）国有资产占用情况</w:t>
      </w:r>
    </w:p>
    <w:p>
      <w:pPr>
        <w:snapToGrid w:val="0"/>
        <w:spacing w:line="580" w:lineRule="exact"/>
        <w:ind w:firstLine="624" w:firstLineChars="200"/>
        <w:jc w:val="both"/>
        <w:textAlignment w:val="baseline"/>
        <w:rPr>
          <w:rStyle w:val="7"/>
          <w:rFonts w:ascii="仿宋_GB2312" w:hAnsi="仿宋_GB2312" w:eastAsia="仿宋_GB2312"/>
          <w:color w:val="000000"/>
          <w:kern w:val="0"/>
          <w:sz w:val="32"/>
          <w:szCs w:val="32"/>
          <w:lang w:val="en-US" w:eastAsia="zh-CN" w:bidi="ar-SA"/>
        </w:rPr>
      </w:pPr>
      <w:r>
        <w:rPr>
          <w:rStyle w:val="7"/>
          <w:rFonts w:ascii="仿宋_GB2312" w:hAnsi="仿宋_GB2312" w:eastAsia="仿宋_GB2312"/>
          <w:color w:val="000000"/>
          <w:kern w:val="0"/>
          <w:sz w:val="32"/>
          <w:szCs w:val="32"/>
          <w:lang w:val="en-US" w:eastAsia="zh-CN" w:bidi="ar-SA"/>
        </w:rPr>
        <w:t>2018年期末，伊川县人民检察院固定资产总额3760.7万元，其</w:t>
      </w:r>
      <w:bookmarkStart w:id="0" w:name="_GoBack"/>
      <w:bookmarkEnd w:id="0"/>
      <w:r>
        <w:rPr>
          <w:rStyle w:val="7"/>
          <w:rFonts w:ascii="仿宋_GB2312" w:hAnsi="仿宋_GB2312" w:eastAsia="仿宋_GB2312"/>
          <w:color w:val="000000"/>
          <w:kern w:val="0"/>
          <w:sz w:val="32"/>
          <w:szCs w:val="32"/>
          <w:lang w:val="en-US" w:eastAsia="zh-CN" w:bidi="ar-SA"/>
        </w:rPr>
        <w:t>中，房屋建筑物2126.5万元，车辆270.7万元。共有车辆15辆，其中：执法执勤车6辆，特种专业技术用车9辆；</w:t>
      </w:r>
      <w:r>
        <w:rPr>
          <w:rStyle w:val="7"/>
          <w:rFonts w:ascii="仿宋_GB2312" w:hAnsi="仿宋_GB2312" w:eastAsia="仿宋_GB2312"/>
          <w:color w:val="000000"/>
          <w:kern w:val="2"/>
          <w:sz w:val="32"/>
          <w:szCs w:val="32"/>
          <w:lang w:val="en-US" w:eastAsia="zh-CN" w:bidi="ar-SA"/>
        </w:rPr>
        <w:t>单价50万元以上通用设备</w:t>
      </w:r>
      <w:r>
        <w:rPr>
          <w:rStyle w:val="7"/>
          <w:rFonts w:ascii="仿宋_GB2312" w:hAnsi="仿宋_GB2312" w:eastAsia="仿宋_GB2312"/>
          <w:color w:val="000000"/>
          <w:kern w:val="0"/>
          <w:sz w:val="32"/>
          <w:szCs w:val="32"/>
          <w:lang w:val="en-US" w:eastAsia="zh-CN" w:bidi="ar-SA"/>
        </w:rPr>
        <w:t>1</w:t>
      </w:r>
      <w:r>
        <w:rPr>
          <w:rStyle w:val="7"/>
          <w:rFonts w:ascii="仿宋_GB2312" w:hAnsi="仿宋_GB2312" w:eastAsia="仿宋_GB2312"/>
          <w:color w:val="000000"/>
          <w:kern w:val="2"/>
          <w:sz w:val="32"/>
          <w:szCs w:val="32"/>
          <w:lang w:val="en-US" w:eastAsia="zh-CN" w:bidi="ar-SA"/>
        </w:rPr>
        <w:t>套</w:t>
      </w:r>
      <w:r>
        <w:rPr>
          <w:rStyle w:val="7"/>
          <w:rFonts w:ascii="仿宋_GB2312" w:hAnsi="宋体" w:eastAsia="仿宋_GB2312"/>
          <w:color w:val="000000"/>
          <w:kern w:val="2"/>
          <w:sz w:val="32"/>
          <w:szCs w:val="32"/>
          <w:lang w:val="en-US" w:eastAsia="zh-CN" w:bidi="ar-SA"/>
        </w:rPr>
        <w:t>。</w:t>
      </w:r>
    </w:p>
    <w:p>
      <w:pPr>
        <w:widowControl/>
        <w:spacing w:line="580" w:lineRule="exact"/>
        <w:ind w:firstLine="624" w:firstLineChars="200"/>
        <w:jc w:val="both"/>
        <w:textAlignment w:val="baseline"/>
        <w:rPr>
          <w:rStyle w:val="7"/>
          <w:rFonts w:ascii="楷体_GB2312" w:hAnsi="仿宋_GB2312" w:eastAsia="楷体_GB2312"/>
          <w:color w:val="000000"/>
          <w:kern w:val="0"/>
          <w:sz w:val="32"/>
          <w:szCs w:val="32"/>
          <w:lang w:val="en-US" w:eastAsia="zh-CN" w:bidi="ar-SA"/>
        </w:rPr>
      </w:pPr>
      <w:r>
        <w:rPr>
          <w:rStyle w:val="7"/>
          <w:rFonts w:ascii="楷体_GB2312" w:hAnsi="仿宋_GB2312" w:eastAsia="楷体_GB2312"/>
          <w:color w:val="000000"/>
          <w:kern w:val="0"/>
          <w:sz w:val="32"/>
          <w:szCs w:val="32"/>
          <w:lang w:val="en-US" w:eastAsia="zh-CN" w:bidi="ar-SA"/>
        </w:rPr>
        <w:t>（五）关于预算部门构成说明</w:t>
      </w:r>
    </w:p>
    <w:p>
      <w:pPr>
        <w:snapToGrid w:val="0"/>
        <w:spacing w:line="580" w:lineRule="exact"/>
        <w:ind w:firstLine="624" w:firstLineChars="200"/>
        <w:jc w:val="both"/>
        <w:textAlignment w:val="baseline"/>
        <w:rPr>
          <w:rStyle w:val="7"/>
          <w:rFonts w:ascii="仿宋_GB2312" w:hAnsi="仿宋_GB2312" w:eastAsia="仿宋_GB2312"/>
          <w:kern w:val="2"/>
          <w:sz w:val="32"/>
          <w:szCs w:val="32"/>
          <w:lang w:val="en-US" w:eastAsia="zh-CN" w:bidi="ar-SA"/>
        </w:rPr>
      </w:pPr>
      <w:r>
        <w:rPr>
          <w:rStyle w:val="7"/>
          <w:rFonts w:ascii="仿宋_GB2312" w:hAnsi="仿宋_GB2312" w:eastAsia="仿宋_GB2312"/>
          <w:color w:val="000000"/>
          <w:kern w:val="2"/>
          <w:sz w:val="32"/>
          <w:szCs w:val="32"/>
          <w:lang w:val="en-US" w:eastAsia="zh-CN" w:bidi="ar-SA"/>
        </w:rPr>
        <w:t>2019年我单位按照市财政预算公开要求，将所属预算单位全部纳入预算公开范围。</w:t>
      </w:r>
    </w:p>
    <w:p>
      <w:pPr>
        <w:snapToGrid w:val="0"/>
        <w:spacing w:line="580" w:lineRule="exact"/>
        <w:ind w:firstLine="624" w:firstLineChars="200"/>
        <w:jc w:val="both"/>
        <w:textAlignment w:val="baseline"/>
        <w:rPr>
          <w:rStyle w:val="7"/>
          <w:rFonts w:ascii="仿宋_GB2312" w:hAnsi="仿宋_GB2312" w:eastAsia="仿宋_GB2312"/>
          <w:kern w:val="2"/>
          <w:sz w:val="32"/>
          <w:szCs w:val="32"/>
          <w:lang w:val="en-US" w:eastAsia="zh-CN" w:bidi="ar-SA"/>
        </w:rPr>
      </w:pPr>
    </w:p>
    <w:p>
      <w:pPr>
        <w:snapToGrid w:val="0"/>
        <w:spacing w:line="580" w:lineRule="exact"/>
        <w:ind w:firstLine="624" w:firstLineChars="200"/>
        <w:jc w:val="both"/>
        <w:textAlignment w:val="baseline"/>
        <w:rPr>
          <w:rStyle w:val="7"/>
          <w:rFonts w:ascii="仿宋_GB2312" w:hAnsi="仿宋_GB2312" w:eastAsia="仿宋_GB2312"/>
          <w:b/>
          <w:kern w:val="0"/>
          <w:sz w:val="32"/>
          <w:szCs w:val="32"/>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p>
    <w:p>
      <w:pPr>
        <w:snapToGrid w:val="0"/>
        <w:spacing w:line="580" w:lineRule="exact"/>
        <w:jc w:val="center"/>
        <w:textAlignment w:val="baseline"/>
        <w:rPr>
          <w:rStyle w:val="7"/>
          <w:rFonts w:ascii="黑体" w:hAnsi="黑体" w:eastAsia="黑体" w:cs="黑体"/>
          <w:bCs/>
          <w:color w:val="000000"/>
          <w:kern w:val="2"/>
          <w:sz w:val="36"/>
          <w:szCs w:val="36"/>
          <w:lang w:val="en-US" w:eastAsia="zh-CN" w:bidi="ar-SA"/>
        </w:rPr>
      </w:pPr>
      <w:r>
        <w:rPr>
          <w:rStyle w:val="7"/>
          <w:rFonts w:ascii="黑体" w:hAnsi="黑体" w:eastAsia="黑体" w:cs="黑体"/>
          <w:bCs/>
          <w:color w:val="000000"/>
          <w:kern w:val="2"/>
          <w:sz w:val="36"/>
          <w:szCs w:val="36"/>
          <w:lang w:val="en-US" w:eastAsia="zh-CN" w:bidi="ar-SA"/>
        </w:rPr>
        <w:t>第三部分  名词解释</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一、财政拨款收入：是指市级财政当年拨付的资金。</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二、事业收入：是指事业单位开展专业活动及辅助活动所取 得的收入。</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 xml:space="preserve">三、其他收入：是指部门取得的除“财政拨款”、“事业收入”、“事业单位经营收入”等以外的收入。 </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四、基本支出：是指为保障机构正常运转、完成日常工作任务所必需的开支，其内容包括人员经费和日常公用经费两部分。</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五、项目支出：是指在基本支出之外，为完成特定的行政工作任务或事业发展目标所发生的支出。</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宋体" w:eastAsia="仿宋_GB2312"/>
          <w:color w:val="000000"/>
          <w:kern w:val="2"/>
          <w:sz w:val="32"/>
          <w:szCs w:val="32"/>
          <w:lang w:val="en-US" w:eastAsia="zh-CN" w:bidi="ar-SA"/>
        </w:rPr>
        <w:t>七、机关运行经费：是指为保障行政</w:t>
      </w:r>
      <w:r>
        <w:rPr>
          <w:rStyle w:val="7"/>
          <w:rFonts w:ascii="仿宋_GB2312" w:hAnsi="仿宋_GB2312" w:eastAsia="仿宋_GB2312"/>
          <w:color w:val="000000"/>
          <w:kern w:val="2"/>
          <w:sz w:val="32"/>
          <w:szCs w:val="32"/>
          <w:lang w:val="en-US" w:eastAsia="zh-CN" w:bidi="ar-SA"/>
        </w:rPr>
        <w:t>机构正常运转及正常履职需要的办公费、水电费、日常维修、物业费、维修费、差旅费、</w:t>
      </w:r>
      <w:r>
        <w:rPr>
          <w:rStyle w:val="7"/>
          <w:rFonts w:ascii="仿宋_GB2312" w:hAnsi="宋体" w:eastAsia="仿宋_GB2312"/>
          <w:color w:val="000000"/>
          <w:kern w:val="2"/>
          <w:sz w:val="32"/>
          <w:szCs w:val="32"/>
          <w:lang w:val="en-US" w:eastAsia="zh-CN" w:bidi="ar-SA"/>
        </w:rPr>
        <w:t>公务用车运行维护费以及其他费用</w:t>
      </w:r>
      <w:r>
        <w:rPr>
          <w:rStyle w:val="7"/>
          <w:rFonts w:ascii="仿宋_GB2312" w:hAnsi="仿宋_GB2312" w:eastAsia="仿宋_GB2312"/>
          <w:color w:val="000000"/>
          <w:kern w:val="2"/>
          <w:sz w:val="32"/>
          <w:szCs w:val="32"/>
          <w:lang w:val="en-US" w:eastAsia="zh-CN" w:bidi="ar-SA"/>
        </w:rPr>
        <w:t>等支出。</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八、其他（专业性较强的需向社会做出说明的名词）</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 xml:space="preserve">  </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r>
        <w:rPr>
          <w:rStyle w:val="7"/>
          <w:rFonts w:ascii="仿宋_GB2312" w:hAnsi="仿宋_GB2312" w:eastAsia="仿宋_GB2312"/>
          <w:color w:val="000000"/>
          <w:kern w:val="2"/>
          <w:sz w:val="32"/>
          <w:szCs w:val="32"/>
          <w:lang w:val="en-US" w:eastAsia="zh-CN" w:bidi="ar-SA"/>
        </w:rPr>
        <w:t>附件：伊川县人民检察院2019年度部门预算表</w:t>
      </w: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p>
    <w:p>
      <w:pPr>
        <w:snapToGrid w:val="0"/>
        <w:spacing w:line="580" w:lineRule="exact"/>
        <w:ind w:firstLine="624" w:firstLineChars="200"/>
        <w:jc w:val="both"/>
        <w:textAlignment w:val="baseline"/>
        <w:rPr>
          <w:rStyle w:val="7"/>
          <w:rFonts w:ascii="仿宋_GB2312" w:hAnsi="仿宋_GB2312" w:eastAsia="仿宋_GB2312"/>
          <w:color w:val="000000"/>
          <w:kern w:val="2"/>
          <w:sz w:val="32"/>
          <w:szCs w:val="32"/>
          <w:lang w:val="en-US" w:eastAsia="zh-CN" w:bidi="ar-SA"/>
        </w:rPr>
      </w:pPr>
    </w:p>
    <w:p>
      <w:pPr>
        <w:snapToGrid w:val="0"/>
        <w:spacing w:line="580" w:lineRule="exact"/>
        <w:ind w:firstLine="624" w:firstLineChars="200"/>
        <w:jc w:val="both"/>
        <w:textAlignment w:val="baseline"/>
        <w:rPr>
          <w:rStyle w:val="7"/>
          <w:rFonts w:ascii="仿宋_GB2312" w:hAnsi="仿宋_GB2312" w:eastAsia="仿宋_GB2312"/>
          <w:color w:val="000000"/>
          <w:kern w:val="2"/>
          <w:sz w:val="21"/>
          <w:szCs w:val="22"/>
          <w:highlight w:val="magenta"/>
          <w:lang w:val="en-US" w:eastAsia="zh-CN" w:bidi="ar-SA"/>
        </w:rPr>
      </w:pPr>
      <w:r>
        <w:rPr>
          <w:rStyle w:val="7"/>
          <w:rFonts w:ascii="仿宋_GB2312" w:hAnsi="仿宋_GB2312" w:eastAsia="仿宋_GB2312"/>
          <w:color w:val="000000"/>
          <w:kern w:val="2"/>
          <w:sz w:val="32"/>
          <w:szCs w:val="32"/>
          <w:lang w:val="en-US" w:eastAsia="zh-CN" w:bidi="ar-SA"/>
        </w:rPr>
        <w:t xml:space="preserve">                             2019年4月10日</w:t>
      </w: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p>
      <w:pPr>
        <w:snapToGrid w:val="0"/>
        <w:spacing w:line="580" w:lineRule="exact"/>
        <w:ind w:firstLine="3778" w:firstLineChars="1870"/>
        <w:jc w:val="both"/>
        <w:textAlignment w:val="baseline"/>
        <w:rPr>
          <w:rStyle w:val="7"/>
          <w:rFonts w:ascii="Calibri" w:hAnsi="Calibri" w:eastAsia="宋体"/>
          <w:color w:val="000000"/>
          <w:kern w:val="2"/>
          <w:sz w:val="21"/>
          <w:szCs w:val="22"/>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758" w:left="1531" w:header="851" w:footer="1191" w:gutter="0"/>
      <w:lnNumType w:countBy="0"/>
      <w:cols w:space="720" w:num="1"/>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rFonts w:ascii="Calibri" w:hAnsi="Calibri" w:eastAsia="宋体"/>
        <w:kern w:val="2"/>
        <w:sz w:val="18"/>
        <w:szCs w:val="2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rFonts w:ascii="Calibri" w:hAnsi="Calibri" w:eastAsia="宋体"/>
        <w:kern w:val="2"/>
        <w:sz w:val="18"/>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rFonts w:ascii="Calibri" w:hAnsi="Calibri" w:eastAsia="宋体"/>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7"/>
        <w:rFonts w:ascii="Calibri" w:hAnsi="Calibri" w:eastAsia="宋体"/>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7"/>
        <w:rFonts w:ascii="Calibri" w:hAnsi="Calibri" w:eastAsia="宋体"/>
        <w:kern w:val="2"/>
        <w:sz w:val="18"/>
        <w:szCs w:val="2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7"/>
        <w:rFonts w:ascii="Calibri" w:hAnsi="Calibri" w:eastAsia="宋体"/>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FD44D"/>
    <w:multiLevelType w:val="singleLevel"/>
    <w:tmpl w:val="B9CFD44D"/>
    <w:lvl w:ilvl="0" w:tentative="0">
      <w:start w:val="1"/>
      <w:numFmt w:val="chineseCounting"/>
      <w:suff w:val="nothing"/>
      <w:lvlText w:val="（%1）"/>
      <w:lvlJc w:val="left"/>
      <w:pPr>
        <w:widowControl/>
        <w:textAlignment w:val="baseline"/>
      </w:pPr>
      <w:rPr>
        <w:rStyle w:val="7"/>
      </w:rPr>
    </w:lvl>
  </w:abstractNum>
  <w:abstractNum w:abstractNumId="1">
    <w:nsid w:val="5A4F2DAA"/>
    <w:multiLevelType w:val="singleLevel"/>
    <w:tmpl w:val="5A4F2DAA"/>
    <w:lvl w:ilvl="0" w:tentative="0">
      <w:start w:val="1"/>
      <w:numFmt w:val="chineseCounting"/>
      <w:suff w:val="nothing"/>
      <w:lvlText w:val="（%1）"/>
      <w:lvlJc w:val="left"/>
      <w:pPr>
        <w:widowControl/>
        <w:textAlignment w:val="baseline"/>
      </w:pPr>
      <w:rPr>
        <w:rStyle w:val="7"/>
      </w:rPr>
    </w:lvl>
  </w:abstractNum>
  <w:abstractNum w:abstractNumId="2">
    <w:nsid w:val="5A796DEC"/>
    <w:multiLevelType w:val="singleLevel"/>
    <w:tmpl w:val="5A796DEC"/>
    <w:lvl w:ilvl="0" w:tentative="0">
      <w:start w:val="1"/>
      <w:numFmt w:val="chineseCounting"/>
      <w:suff w:val="nothing"/>
      <w:lvlText w:val="%1、"/>
      <w:lvlJc w:val="left"/>
      <w:pPr>
        <w:widowControl/>
        <w:textAlignment w:val="baseline"/>
      </w:pPr>
      <w:rPr>
        <w:rStyle w:val="7"/>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isplayHorizontalDrawingGridEvery w:val="2"/>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DD25597"/>
    <w:rsid w:val="16A23B4F"/>
    <w:rsid w:val="42074BEB"/>
    <w:rsid w:val="44E66A9C"/>
    <w:rsid w:val="5B594CCC"/>
    <w:rsid w:val="5D530009"/>
    <w:rsid w:val="64312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2"/>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2"/>
      <w:lang w:val="en-US" w:eastAsia="zh-CN" w:bidi="ar-SA"/>
    </w:rPr>
  </w:style>
  <w:style w:type="character" w:customStyle="1" w:styleId="7">
    <w:name w:val="NormalCharacter"/>
    <w:link w:val="1"/>
    <w:semiHidden/>
    <w:qFormat/>
    <w:uiPriority w:val="0"/>
  </w:style>
  <w:style w:type="table" w:customStyle="1" w:styleId="8">
    <w:name w:val="TableNormal"/>
    <w:qFormat/>
    <w:uiPriority w:val="0"/>
  </w:style>
  <w:style w:type="paragraph" w:customStyle="1" w:styleId="9">
    <w:name w:val="UserStyle_0"/>
    <w:basedOn w:val="1"/>
    <w:qFormat/>
    <w:uiPriority w:val="0"/>
    <w:pPr>
      <w:shd w:val="clear" w:color="auto" w:fill="FFFFFF"/>
      <w:spacing w:before="720" w:line="529" w:lineRule="exact"/>
      <w:jc w:val="left"/>
      <w:textAlignment w:val="baseline"/>
    </w:pPr>
    <w:rPr>
      <w:rFonts w:ascii="MingLiU" w:hAnsi="MingLiU" w:eastAsia="MingLiU"/>
      <w:kern w:val="0"/>
      <w:sz w:val="26"/>
      <w:szCs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2020-03-04T02:04:00Z</dcterms:created>
  <dc:creator>Administrator</dc:creator>
  <cp:lastModifiedBy>Administrator</cp:lastModifiedBy>
  <dcterms:modified xsi:type="dcterms:W3CDTF">2021-06-18T10:48:29Z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671C88F2C4524E8DA2B81DF00FE1CBE9</vt:lpwstr>
  </property>
</Properties>
</file>