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BB0179">
      <w:pPr>
        <w:jc w:val="center"/>
        <w:rPr>
          <w:rFonts w:ascii="黑体" w:eastAsia="黑体" w:hAnsi="黑体"/>
          <w:sz w:val="52"/>
          <w:szCs w:val="52"/>
        </w:rPr>
      </w:pPr>
      <w:r>
        <w:rPr>
          <w:rFonts w:ascii="黑体" w:eastAsia="黑体" w:hAnsi="黑体" w:hint="eastAsia"/>
          <w:sz w:val="52"/>
          <w:szCs w:val="52"/>
        </w:rPr>
        <w:t>2019年度</w:t>
      </w:r>
    </w:p>
    <w:p w:rsidR="00287809" w:rsidRDefault="00BB0179">
      <w:pPr>
        <w:jc w:val="center"/>
        <w:rPr>
          <w:rFonts w:ascii="黑体" w:eastAsia="黑体" w:hAnsi="黑体"/>
          <w:sz w:val="52"/>
          <w:szCs w:val="52"/>
        </w:rPr>
      </w:pPr>
      <w:r>
        <w:rPr>
          <w:rFonts w:ascii="黑体" w:eastAsia="黑体" w:hAnsi="黑体" w:hint="eastAsia"/>
          <w:sz w:val="52"/>
          <w:szCs w:val="52"/>
        </w:rPr>
        <w:t>伊川县财政局部门决算</w:t>
      </w:r>
    </w:p>
    <w:p w:rsidR="00287809" w:rsidRDefault="00287809">
      <w:pPr>
        <w:jc w:val="center"/>
        <w:rPr>
          <w:rFonts w:ascii="黑体" w:eastAsia="黑体" w:hAnsi="黑体"/>
          <w:sz w:val="52"/>
          <w:szCs w:val="52"/>
        </w:rPr>
      </w:pPr>
    </w:p>
    <w:p w:rsidR="00287809" w:rsidRDefault="00287809">
      <w:pPr>
        <w:jc w:val="center"/>
        <w:rPr>
          <w:rFonts w:ascii="黑体" w:eastAsia="黑体" w:hAnsi="黑体"/>
          <w:sz w:val="52"/>
          <w:szCs w:val="52"/>
        </w:rPr>
      </w:pPr>
    </w:p>
    <w:p w:rsidR="00287809" w:rsidRDefault="00287809">
      <w:pPr>
        <w:jc w:val="center"/>
        <w:rPr>
          <w:rFonts w:ascii="黑体" w:eastAsia="黑体" w:hAnsi="黑体"/>
          <w:sz w:val="52"/>
          <w:szCs w:val="52"/>
        </w:rPr>
      </w:pPr>
    </w:p>
    <w:p w:rsidR="00287809" w:rsidRDefault="00287809">
      <w:pPr>
        <w:jc w:val="center"/>
        <w:rPr>
          <w:rFonts w:ascii="黑体" w:eastAsia="黑体" w:hAnsi="黑体"/>
          <w:sz w:val="52"/>
          <w:szCs w:val="52"/>
        </w:rPr>
      </w:pPr>
    </w:p>
    <w:p w:rsidR="00287809" w:rsidRDefault="00287809">
      <w:pPr>
        <w:jc w:val="center"/>
        <w:rPr>
          <w:rFonts w:ascii="黑体" w:eastAsia="黑体" w:hAnsi="黑体"/>
          <w:sz w:val="52"/>
          <w:szCs w:val="52"/>
        </w:rPr>
      </w:pPr>
    </w:p>
    <w:p w:rsidR="00287809" w:rsidRDefault="00287809">
      <w:pPr>
        <w:jc w:val="center"/>
        <w:rPr>
          <w:rFonts w:ascii="黑体" w:eastAsia="黑体" w:hAnsi="黑体"/>
          <w:sz w:val="52"/>
          <w:szCs w:val="52"/>
        </w:rPr>
      </w:pPr>
    </w:p>
    <w:p w:rsidR="00287809" w:rsidRDefault="00BB0179">
      <w:pPr>
        <w:jc w:val="center"/>
        <w:rPr>
          <w:rFonts w:ascii="黑体" w:eastAsia="黑体" w:hAnsi="黑体"/>
          <w:sz w:val="32"/>
          <w:szCs w:val="32"/>
        </w:rPr>
        <w:sectPr w:rsidR="00287809">
          <w:pgSz w:w="11906" w:h="16838"/>
          <w:pgMar w:top="1440" w:right="1531" w:bottom="1440" w:left="1587" w:header="850" w:footer="992" w:gutter="0"/>
          <w:pgNumType w:fmt="numberInDash"/>
          <w:cols w:space="720"/>
          <w:docGrid w:type="lines" w:linePitch="317"/>
        </w:sectPr>
      </w:pPr>
      <w:r>
        <w:rPr>
          <w:rFonts w:ascii="黑体" w:eastAsia="黑体" w:hAnsi="黑体" w:hint="eastAsia"/>
          <w:sz w:val="32"/>
          <w:szCs w:val="32"/>
        </w:rPr>
        <w:t>二〇二〇年九月</w:t>
      </w:r>
    </w:p>
    <w:p w:rsidR="00287809" w:rsidRDefault="00BB0179">
      <w:pPr>
        <w:jc w:val="center"/>
        <w:rPr>
          <w:rFonts w:ascii="黑体" w:eastAsia="黑体" w:hAnsi="黑体"/>
          <w:sz w:val="36"/>
          <w:szCs w:val="36"/>
        </w:rPr>
      </w:pPr>
      <w:r>
        <w:rPr>
          <w:rFonts w:ascii="黑体" w:eastAsia="黑体" w:hAnsi="黑体" w:hint="eastAsia"/>
          <w:sz w:val="36"/>
          <w:szCs w:val="36"/>
        </w:rPr>
        <w:lastRenderedPageBreak/>
        <w:t>目　　录</w:t>
      </w:r>
    </w:p>
    <w:p w:rsidR="00287809" w:rsidRDefault="00BB0179">
      <w:pPr>
        <w:jc w:val="left"/>
        <w:rPr>
          <w:rFonts w:ascii="黑体" w:eastAsia="黑体" w:hAnsi="黑体"/>
          <w:sz w:val="32"/>
          <w:szCs w:val="32"/>
        </w:rPr>
      </w:pPr>
      <w:r>
        <w:rPr>
          <w:rFonts w:ascii="黑体" w:eastAsia="黑体" w:hAnsi="黑体" w:hint="eastAsia"/>
          <w:sz w:val="32"/>
          <w:szCs w:val="32"/>
        </w:rPr>
        <w:t>第一部分　概况</w:t>
      </w:r>
    </w:p>
    <w:p w:rsidR="00287809" w:rsidRDefault="00BB0179">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287809" w:rsidRDefault="00BB0179">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287809" w:rsidRDefault="00BB0179">
      <w:pPr>
        <w:jc w:val="left"/>
        <w:rPr>
          <w:rFonts w:ascii="黑体" w:eastAsia="黑体" w:hAnsi="黑体"/>
          <w:sz w:val="32"/>
          <w:szCs w:val="32"/>
        </w:rPr>
      </w:pPr>
      <w:r>
        <w:rPr>
          <w:rFonts w:ascii="黑体" w:eastAsia="黑体" w:hAnsi="黑体" w:hint="eastAsia"/>
          <w:sz w:val="32"/>
          <w:szCs w:val="32"/>
        </w:rPr>
        <w:t>第二部分　　2019年度部门决算表</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二、收入决算表</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三、支出决算表</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287809" w:rsidRDefault="00BB0179">
      <w:pPr>
        <w:jc w:val="left"/>
        <w:rPr>
          <w:rFonts w:ascii="黑体" w:eastAsia="黑体" w:hAnsi="黑体"/>
          <w:sz w:val="32"/>
          <w:szCs w:val="32"/>
        </w:rPr>
      </w:pPr>
      <w:r>
        <w:rPr>
          <w:rFonts w:ascii="黑体" w:eastAsia="黑体" w:hAnsi="黑体" w:hint="eastAsia"/>
          <w:sz w:val="32"/>
          <w:szCs w:val="32"/>
        </w:rPr>
        <w:t>第三部分　　2019年度部门决算情况说明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287809" w:rsidRDefault="00BB0179">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287809" w:rsidRDefault="00BB0179">
      <w:pPr>
        <w:jc w:val="left"/>
        <w:rPr>
          <w:rFonts w:ascii="黑体" w:eastAsia="黑体" w:hAnsi="黑体"/>
          <w:sz w:val="32"/>
          <w:szCs w:val="32"/>
        </w:rPr>
      </w:pPr>
      <w:r>
        <w:rPr>
          <w:rFonts w:ascii="黑体" w:eastAsia="黑体" w:hAnsi="黑体" w:hint="eastAsia"/>
          <w:sz w:val="32"/>
          <w:szCs w:val="32"/>
        </w:rPr>
        <w:t>第四部分　　名词解释</w:t>
      </w:r>
    </w:p>
    <w:p w:rsidR="00287809" w:rsidRDefault="00287809">
      <w:pPr>
        <w:ind w:firstLineChars="200" w:firstLine="640"/>
        <w:jc w:val="left"/>
        <w:rPr>
          <w:rFonts w:ascii="宋体" w:hAnsi="宋体" w:cs="宋体"/>
          <w:sz w:val="32"/>
          <w:szCs w:val="32"/>
        </w:rPr>
      </w:pPr>
    </w:p>
    <w:p w:rsidR="00287809" w:rsidRDefault="00287809">
      <w:pPr>
        <w:jc w:val="left"/>
        <w:rPr>
          <w:rFonts w:ascii="黑体" w:eastAsia="黑体" w:hAnsi="黑体"/>
          <w:sz w:val="32"/>
          <w:szCs w:val="32"/>
        </w:rPr>
        <w:sectPr w:rsidR="00287809">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604CD5" w:rsidRDefault="00604CD5">
      <w:pPr>
        <w:widowControl/>
        <w:jc w:val="center"/>
        <w:outlineLvl w:val="0"/>
        <w:rPr>
          <w:rFonts w:ascii="黑体" w:eastAsia="黑体" w:hAnsi="黑体" w:hint="eastAsia"/>
          <w:sz w:val="48"/>
          <w:szCs w:val="48"/>
        </w:rPr>
      </w:pPr>
    </w:p>
    <w:p w:rsidR="00287809" w:rsidRDefault="00BB0179">
      <w:pPr>
        <w:widowControl/>
        <w:jc w:val="center"/>
        <w:outlineLvl w:val="0"/>
        <w:rPr>
          <w:rFonts w:ascii="黑体" w:eastAsia="黑体" w:hAnsi="宋体" w:cs="宋体"/>
          <w:kern w:val="0"/>
          <w:sz w:val="28"/>
          <w:szCs w:val="28"/>
        </w:rPr>
      </w:pPr>
      <w:r>
        <w:rPr>
          <w:rFonts w:ascii="黑体" w:eastAsia="黑体" w:hAnsi="黑体" w:hint="eastAsia"/>
          <w:sz w:val="48"/>
          <w:szCs w:val="48"/>
        </w:rPr>
        <w:t>第一部分  伊川县财政局概况</w:t>
      </w:r>
    </w:p>
    <w:p w:rsidR="00287809" w:rsidRDefault="00287809">
      <w:pPr>
        <w:widowControl/>
        <w:jc w:val="left"/>
        <w:rPr>
          <w:rFonts w:ascii="黑体" w:eastAsia="黑体" w:hAnsi="宋体" w:cs="宋体"/>
          <w:kern w:val="0"/>
          <w:sz w:val="28"/>
          <w:szCs w:val="28"/>
        </w:rPr>
        <w:sectPr w:rsidR="00287809">
          <w:pgSz w:w="11906" w:h="16838"/>
          <w:pgMar w:top="1440" w:right="1800" w:bottom="1440" w:left="1800" w:header="720" w:footer="720" w:gutter="0"/>
          <w:pgNumType w:fmt="numberInDash"/>
          <w:cols w:space="720"/>
          <w:docGrid w:type="lines" w:linePitch="312"/>
        </w:sectPr>
      </w:pPr>
    </w:p>
    <w:p w:rsidR="00287809" w:rsidRDefault="00287809">
      <w:pPr>
        <w:widowControl/>
        <w:jc w:val="left"/>
        <w:outlineLvl w:val="1"/>
        <w:rPr>
          <w:rFonts w:ascii="黑体" w:eastAsia="黑体" w:hAnsi="黑体"/>
          <w:kern w:val="0"/>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p>
    <w:p w:rsidR="00287809" w:rsidRPr="00604CD5" w:rsidRDefault="00604CD5" w:rsidP="00604CD5">
      <w:pPr>
        <w:adjustRightInd w:val="0"/>
        <w:snapToGrid w:val="0"/>
        <w:spacing w:line="600" w:lineRule="exact"/>
        <w:ind w:left="640"/>
        <w:rPr>
          <w:rFonts w:ascii="Times New Roman" w:eastAsia="黑体" w:hAnsi="Times New Roman" w:cs="Times New Roman"/>
          <w:sz w:val="32"/>
          <w:szCs w:val="32"/>
        </w:rPr>
      </w:pPr>
      <w:r>
        <w:rPr>
          <w:rFonts w:ascii="Times New Roman" w:eastAsia="黑体" w:hAnsi="Times New Roman" w:cs="Times New Roman" w:hint="eastAsia"/>
          <w:sz w:val="32"/>
          <w:szCs w:val="32"/>
        </w:rPr>
        <w:t>一、部门</w:t>
      </w:r>
      <w:r w:rsidR="00BB0179" w:rsidRPr="00604CD5">
        <w:rPr>
          <w:rFonts w:ascii="Times New Roman" w:eastAsia="黑体" w:hAnsi="Times New Roman" w:cs="Times New Roman"/>
          <w:sz w:val="32"/>
          <w:szCs w:val="32"/>
        </w:rPr>
        <w:t>职责</w:t>
      </w:r>
    </w:p>
    <w:p w:rsidR="00604CD5" w:rsidRDefault="00BB0179">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伊川县财政局位于伊川县立奇大厦A区9楼，是主管全县财政收支、财税政策宣传、非税收入管理、政府集中采购、基本建设投资评审、社保资金管理、国有资产管理等，并参与对国民经济进行调控的县政府工作部门。</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(一)拟订全县财税发展战略、政策性措施、规划和改革方案并组织实施。研究提出建立完善现代财政制度,运用财政政策促进经济、政治、文化、社会、生态建设的政策性措施。</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贯彻执行国家、省、市制定的财政、税收、财务、会计管理的法律法规和方针政策。组织涉外财政、债务等国际谈判并草签有关协议。在政府统一领导下,牵头建立政府购买服务工作机制,会同有关部门研究提出相关政策性措施。</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全县财政收支管理工作,承担县级财政收支管理责任。负责编审年度县级财政预算草案并组织执行,受县政府委托向县人民代表大会报告全县和县级财政预算及其执行情况。负责编制全县年度财政决算草案并向县人大常委会报告。组织制定经费开支标准、定额,负责审核批复部门(单位)的年度预决算。建立全面规范、公开透明的预算制度。建立跨年度预算平衡机制。全面推进预算绩效管理工作。</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(四)研究提出完善县、乡级政府之间事权、支出责任、财政收入划分方案的建议,完善转移支付制度。</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(五)负责政府非税收入和政府性基金管理。编制年度县级政府性基金预算草案,汇总年度全县政府性基金预算。管理财政票据。按规定管理彩票市场及彩票资金。研究制定政府非税收入管理制度。</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组织制定全县财政国库管理制度、国库集中收付制度,指导和监督县级国库业务,按规定开展国库现金管理工作。负责建立权责发生制的政府综合财务报告制度。负责制定政府采购制度,编制县级政府采购预算并监督管理</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(七)负责管理和监督县级财政行政、政法、教育、科学、文化、体育等支出,研究提出相关财政政策性建议。拟订行政事业单位财务管理制度和公务支出标准。承担县级国有文化企业资产与财务管理有关工作。</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(八)负责管理和监督县级财政农业、林业、水利、扶贫等支出,研究提出相关财政政策性建议。负责拟订全县农业综合开发政策性措施和项目、资金、财务管理工作。</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(九)负责监督管理县级财政经济发展支出,研究提出相关财政政策性建议。制定全县基本建设财务制度,承担财政投资评审管理工作。</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(十)负责管理和监督县级财政社会保障、就业及医疗卫生支出,会同有关部门拟订社会保障资金(基金)财务管理制度,编制县级社会保障预决算草案。</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(十一)负责管理和监督县级财政服务业发展、商业流通、旅游、粮食等支出,研究提出相关财政政策性建议。拟订商</w:t>
      </w:r>
      <w:r>
        <w:rPr>
          <w:rFonts w:ascii="仿宋_GB2312" w:eastAsia="仿宋_GB2312" w:hAnsi="仿宋_GB2312" w:cs="仿宋_GB2312" w:hint="eastAsia"/>
          <w:sz w:val="32"/>
          <w:szCs w:val="32"/>
        </w:rPr>
        <w:lastRenderedPageBreak/>
        <w:t>业流通、旅游、粮食、物资、供销企业的财务管理制度;承担有关政策性补贴和专项储备资金财政管理工作。</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(十二)贯彻执行国家税收政策、地方税收条例等政策；牵头建立个人收入和财产信息系统；在国家税制改革统一框架下,提出加强地方税体系建设相关建议。</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负责制定行政事业单位国有资产管理制度,并对执行情况进行监督检查。管理行政事业单位国有资产,制定资产配置标准和相关费用标准,编制县级行政事业单位国有资产购置预算;负责县级事业单位对外投资的审批和监督管理。</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负责制定国有资本经营预算制度,编制县级国有资本经营预算,审核和汇总编制全县国有资本经营预决算草案,收取县本级企业国有资本收益,组织实施全县企业财务制度,参与拟订企业国有资产管理相关制度,按规定管理资产评估工作;监督管理公物拍卖。</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(十五)承担地方金融类企业国有资产管理有关工作,拟订地方金融类企业财务管理制度,按规定管理政策性金融业务。执行地方政策性保险有关政策。代表政府履行出资人对地方金融类企业资产、财务的监管职责。</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(十六)执行国家政府性债务管理政策和制度,拟订有关政策性措施和制度,建立规范合理的政府债务管理及相关风险预警机制。</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(十七)负责管理全县会计工作,监督和规范会计行为。</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(十八)监督检查财税法规、政策的执行情况,依法查处违法违规行为;反映财政收支管理中的重大问题,提出加强财政管理的政策性建议。</w:t>
      </w:r>
    </w:p>
    <w:p w:rsidR="00604CD5" w:rsidRDefault="00604CD5" w:rsidP="00604CD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(十九)承办县政府交办的其他事项。  </w:t>
      </w:r>
    </w:p>
    <w:p w:rsidR="00604CD5" w:rsidRDefault="00604CD5">
      <w:pPr>
        <w:widowControl/>
        <w:spacing w:line="590" w:lineRule="exact"/>
        <w:ind w:firstLineChars="200" w:firstLine="640"/>
        <w:rPr>
          <w:rFonts w:ascii="仿宋_GB2312" w:eastAsia="仿宋_GB2312" w:hAnsi="仿宋_GB2312" w:cs="仿宋_GB2312" w:hint="eastAsia"/>
          <w:sz w:val="32"/>
          <w:szCs w:val="32"/>
        </w:rPr>
      </w:pPr>
    </w:p>
    <w:p w:rsidR="00604CD5" w:rsidRPr="00604CD5" w:rsidRDefault="00604CD5" w:rsidP="00604CD5">
      <w:pPr>
        <w:adjustRightInd w:val="0"/>
        <w:snapToGrid w:val="0"/>
        <w:spacing w:line="600" w:lineRule="exact"/>
        <w:ind w:left="640"/>
        <w:rPr>
          <w:rFonts w:ascii="Times New Roman" w:eastAsia="黑体" w:hAnsi="Times New Roman" w:cs="Times New Roman" w:hint="eastAsia"/>
          <w:sz w:val="32"/>
          <w:szCs w:val="32"/>
        </w:rPr>
      </w:pPr>
      <w:r w:rsidRPr="00604CD5">
        <w:rPr>
          <w:rFonts w:ascii="Times New Roman" w:eastAsia="黑体" w:hAnsi="Times New Roman" w:cs="Times New Roman" w:hint="eastAsia"/>
          <w:sz w:val="32"/>
          <w:szCs w:val="32"/>
        </w:rPr>
        <w:t>二、机构设置</w:t>
      </w:r>
    </w:p>
    <w:p w:rsidR="00287809" w:rsidRDefault="00BB0179">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内设机构有</w:t>
      </w:r>
      <w:r w:rsidR="00604CD5">
        <w:rPr>
          <w:rFonts w:ascii="仿宋_GB2312" w:eastAsia="仿宋_GB2312" w:hAnsi="仿宋_GB2312" w:cs="仿宋_GB2312" w:hint="eastAsia"/>
          <w:sz w:val="32"/>
          <w:szCs w:val="32"/>
        </w:rPr>
        <w:t>35个，包括：</w:t>
      </w:r>
      <w:r>
        <w:rPr>
          <w:rFonts w:ascii="仿宋_GB2312" w:eastAsia="仿宋_GB2312" w:hAnsi="仿宋_GB2312" w:cs="仿宋_GB2312" w:hint="eastAsia"/>
          <w:sz w:val="32"/>
          <w:szCs w:val="32"/>
        </w:rPr>
        <w:t>办公室、预算股、国库股、基建股、综合股、农业股(农村综合改革办公室）、企业股、社保股、会计股、教科文股、国资管理股、政府采购办公室、绩效办、债务股、财政监督股等15个股室，下属国资管理中心、国库支付中心、乡镇业务核算部、政府投资评审中心、信息中心等工作部门及城关财政所、河滨财政所、鸦岭财政所、高山财政所、平等财政所、鸣皋财政所、葛寨财政所、酒后财政所、白元财政所、水寨财政所、白沙财政所、半坡财政所、江左财政所、吕店财政所、彭婆财政所等15个乡镇（街道）财政所。</w:t>
      </w:r>
    </w:p>
    <w:p w:rsidR="00604CD5" w:rsidRDefault="00604CD5">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从决算构成看，财政局部门决算包括：本级决算。</w:t>
      </w:r>
      <w:r w:rsidR="00823400">
        <w:rPr>
          <w:rFonts w:ascii="仿宋_GB2312" w:eastAsia="仿宋_GB2312" w:hAnsi="仿宋_GB2312" w:cs="仿宋_GB2312" w:hint="eastAsia"/>
          <w:sz w:val="32"/>
          <w:szCs w:val="32"/>
        </w:rPr>
        <w:t>15个乡镇（街道）财政所独立核算不在本部门反映。</w:t>
      </w: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604CD5" w:rsidRDefault="00604CD5">
      <w:pPr>
        <w:jc w:val="center"/>
        <w:outlineLvl w:val="0"/>
        <w:rPr>
          <w:rFonts w:ascii="黑体" w:eastAsia="黑体" w:hAnsi="黑体" w:hint="eastAsia"/>
          <w:sz w:val="48"/>
          <w:szCs w:val="48"/>
        </w:rPr>
      </w:pPr>
    </w:p>
    <w:p w:rsidR="00604CD5" w:rsidRDefault="00604CD5">
      <w:pPr>
        <w:jc w:val="center"/>
        <w:outlineLvl w:val="0"/>
        <w:rPr>
          <w:rFonts w:ascii="黑体" w:eastAsia="黑体" w:hAnsi="黑体" w:hint="eastAsia"/>
          <w:sz w:val="48"/>
          <w:szCs w:val="48"/>
        </w:rPr>
      </w:pPr>
    </w:p>
    <w:p w:rsidR="00604CD5" w:rsidRDefault="00604CD5">
      <w:pPr>
        <w:jc w:val="center"/>
        <w:outlineLvl w:val="0"/>
        <w:rPr>
          <w:rFonts w:ascii="黑体" w:eastAsia="黑体" w:hAnsi="黑体" w:hint="eastAsia"/>
          <w:sz w:val="48"/>
          <w:szCs w:val="48"/>
        </w:rPr>
      </w:pPr>
    </w:p>
    <w:p w:rsidR="00604CD5" w:rsidRDefault="00604CD5">
      <w:pPr>
        <w:jc w:val="center"/>
        <w:outlineLvl w:val="0"/>
        <w:rPr>
          <w:rFonts w:ascii="黑体" w:eastAsia="黑体" w:hAnsi="黑体" w:hint="eastAsia"/>
          <w:sz w:val="48"/>
          <w:szCs w:val="48"/>
        </w:rPr>
      </w:pPr>
    </w:p>
    <w:p w:rsidR="00604CD5" w:rsidRDefault="00604CD5">
      <w:pPr>
        <w:jc w:val="center"/>
        <w:outlineLvl w:val="0"/>
        <w:rPr>
          <w:rFonts w:ascii="黑体" w:eastAsia="黑体" w:hAnsi="黑体" w:hint="eastAsia"/>
          <w:sz w:val="48"/>
          <w:szCs w:val="48"/>
        </w:rPr>
      </w:pPr>
    </w:p>
    <w:p w:rsidR="00604CD5" w:rsidRDefault="00604CD5">
      <w:pPr>
        <w:jc w:val="center"/>
        <w:outlineLvl w:val="0"/>
        <w:rPr>
          <w:rFonts w:ascii="黑体" w:eastAsia="黑体" w:hAnsi="黑体" w:hint="eastAsia"/>
          <w:sz w:val="48"/>
          <w:szCs w:val="48"/>
        </w:rPr>
      </w:pPr>
    </w:p>
    <w:p w:rsidR="00604CD5" w:rsidRDefault="00604CD5">
      <w:pPr>
        <w:jc w:val="center"/>
        <w:outlineLvl w:val="0"/>
        <w:rPr>
          <w:rFonts w:ascii="黑体" w:eastAsia="黑体" w:hAnsi="黑体" w:hint="eastAsia"/>
          <w:sz w:val="48"/>
          <w:szCs w:val="48"/>
        </w:rPr>
      </w:pPr>
    </w:p>
    <w:p w:rsidR="00287809" w:rsidRDefault="00BB0179">
      <w:pPr>
        <w:jc w:val="center"/>
        <w:outlineLvl w:val="0"/>
        <w:rPr>
          <w:rFonts w:ascii="仿宋_GB2312" w:eastAsia="黑体" w:hAnsi="仿宋_GB2312" w:cs="仿宋_GB2312"/>
          <w:sz w:val="32"/>
          <w:szCs w:val="32"/>
          <w:highlight w:val="yellow"/>
        </w:rPr>
        <w:sectPr w:rsidR="00287809" w:rsidSect="00604CD5">
          <w:type w:val="continuous"/>
          <w:pgSz w:w="11906" w:h="16838"/>
          <w:pgMar w:top="1440" w:right="1800" w:bottom="1440" w:left="1800" w:header="720" w:footer="720" w:gutter="0"/>
          <w:pgNumType w:fmt="numberInDash"/>
          <w:cols w:space="720"/>
          <w:docGrid w:type="lines" w:linePitch="312"/>
        </w:sectPr>
      </w:pPr>
      <w:r>
        <w:rPr>
          <w:rFonts w:ascii="黑体" w:eastAsia="黑体" w:hAnsi="黑体" w:hint="eastAsia"/>
          <w:sz w:val="48"/>
          <w:szCs w:val="48"/>
        </w:rPr>
        <w:t>第二部分  2019年度部门决算</w:t>
      </w: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BB0179">
      <w:pPr>
        <w:jc w:val="center"/>
        <w:outlineLvl w:val="0"/>
        <w:rPr>
          <w:rFonts w:ascii="黑体" w:eastAsia="黑体" w:hAnsi="黑体"/>
          <w:sz w:val="48"/>
          <w:szCs w:val="48"/>
        </w:rPr>
      </w:pPr>
      <w:r>
        <w:rPr>
          <w:rFonts w:ascii="黑体" w:eastAsia="黑体" w:hAnsi="黑体" w:hint="eastAsia"/>
          <w:sz w:val="48"/>
          <w:szCs w:val="48"/>
        </w:rPr>
        <w:t>第三部分  2019年度部门决算情况说明</w:t>
      </w:r>
    </w:p>
    <w:p w:rsidR="00287809" w:rsidRDefault="00287809">
      <w:pPr>
        <w:widowControl/>
        <w:jc w:val="left"/>
        <w:rPr>
          <w:rFonts w:ascii="黑体" w:eastAsia="黑体" w:hAnsi="黑体"/>
          <w:sz w:val="48"/>
          <w:szCs w:val="48"/>
        </w:rPr>
        <w:sectPr w:rsidR="00287809">
          <w:pgSz w:w="11906" w:h="16838"/>
          <w:pgMar w:top="1440" w:right="1800" w:bottom="1440" w:left="1800" w:header="720" w:footer="720" w:gutter="0"/>
          <w:pgNumType w:fmt="numberInDash"/>
          <w:cols w:space="720"/>
          <w:docGrid w:type="lines" w:linePitch="312"/>
        </w:sectPr>
      </w:pP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lastRenderedPageBreak/>
        <w:t>一、收入支出决算总体情况说明</w:t>
      </w:r>
    </w:p>
    <w:p w:rsidR="00287809" w:rsidRDefault="00BB0179">
      <w:pPr>
        <w:widowControl/>
        <w:spacing w:line="59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2019年度收、支总计均为2051.57万元。与上年度相比，收、支总计各增加212.45万元，增长11.55%。增长原因为社保资金及增资。</w:t>
      </w: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二、收入决算情况说明</w:t>
      </w:r>
    </w:p>
    <w:p w:rsidR="00287809" w:rsidRDefault="00BB0179">
      <w:pPr>
        <w:widowControl/>
        <w:spacing w:line="59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2019年度收入合计2050.42万元，其中：财政拨款收入2050.42万元，占100%。</w:t>
      </w: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三、支出决算情况说明</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2019年度支出合计1972.84万元，其中：基本支出1972.84万元，占100%。</w:t>
      </w: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四、财政拨款收入支出决算总体情况说明</w:t>
      </w:r>
    </w:p>
    <w:p w:rsidR="00287809" w:rsidRDefault="00BB0179" w:rsidP="00823400">
      <w:pPr>
        <w:widowControl/>
        <w:spacing w:line="59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2019年度收、支总计均为2051.57万元。与上年度相比，收、支总计各增加212.45万元，增长11.55%。</w:t>
      </w:r>
      <w:r w:rsidR="00823400">
        <w:rPr>
          <w:rFonts w:ascii="仿宋_GB2312" w:eastAsia="仿宋_GB2312" w:hAnsi="仿宋_GB2312" w:cs="仿宋_GB2312" w:hint="eastAsia"/>
          <w:sz w:val="32"/>
          <w:szCs w:val="32"/>
        </w:rPr>
        <w:t>增长原因为社保资金及增资。</w:t>
      </w: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五、一般公共预算财政拨款支出决算情况说明</w:t>
      </w:r>
    </w:p>
    <w:p w:rsidR="00287809" w:rsidRDefault="00BB0179">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287809" w:rsidRPr="00823400" w:rsidRDefault="00BB0179" w:rsidP="00823400">
      <w:pPr>
        <w:widowControl/>
        <w:spacing w:line="59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2019年度一般公共预算财政拨款支出1972.84万元，占本年支出合计的100%。与上年度相比，一般公共预算财政拨款支出增加134.87万元，增长7.3%。</w:t>
      </w:r>
      <w:r w:rsidR="00823400">
        <w:rPr>
          <w:rFonts w:ascii="仿宋_GB2312" w:eastAsia="仿宋_GB2312" w:hAnsi="仿宋_GB2312" w:cs="仿宋_GB2312" w:hint="eastAsia"/>
          <w:sz w:val="32"/>
          <w:szCs w:val="32"/>
        </w:rPr>
        <w:t>增长原因为社保资金及增资。</w:t>
      </w:r>
    </w:p>
    <w:p w:rsidR="00287809" w:rsidRDefault="00BB0179">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bookmarkStart w:id="0" w:name="_GoBack"/>
      <w:bookmarkEnd w:id="0"/>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2019年度一般公共预算财政拨款支出1972.84万元，主要用于以下方面：</w:t>
      </w:r>
      <w:r w:rsidRPr="00823400">
        <w:rPr>
          <w:rFonts w:ascii="仿宋_GB2312" w:eastAsia="仿宋_GB2312" w:hAnsi="仿宋_GB2312" w:cs="仿宋_GB2312" w:hint="eastAsia"/>
          <w:b/>
          <w:sz w:val="32"/>
          <w:szCs w:val="32"/>
        </w:rPr>
        <w:t>一般公共服务（类）</w:t>
      </w:r>
      <w:r>
        <w:rPr>
          <w:rFonts w:ascii="仿宋_GB2312" w:eastAsia="仿宋_GB2312" w:hAnsi="仿宋_GB2312" w:cs="仿宋_GB2312" w:hint="eastAsia"/>
          <w:sz w:val="32"/>
          <w:szCs w:val="32"/>
        </w:rPr>
        <w:t>支出1655.24万元，</w:t>
      </w:r>
      <w:r>
        <w:rPr>
          <w:rFonts w:ascii="仿宋_GB2312" w:eastAsia="仿宋_GB2312" w:hAnsi="仿宋_GB2312" w:cs="仿宋_GB2312" w:hint="eastAsia"/>
          <w:sz w:val="32"/>
          <w:szCs w:val="32"/>
        </w:rPr>
        <w:lastRenderedPageBreak/>
        <w:t>占83.90%；</w:t>
      </w:r>
      <w:r w:rsidRPr="00823400">
        <w:rPr>
          <w:rFonts w:ascii="仿宋_GB2312" w:eastAsia="仿宋_GB2312" w:hAnsi="仿宋_GB2312" w:cs="仿宋_GB2312" w:hint="eastAsia"/>
          <w:b/>
          <w:sz w:val="32"/>
          <w:szCs w:val="32"/>
        </w:rPr>
        <w:t>教育支出</w:t>
      </w:r>
      <w:r>
        <w:rPr>
          <w:rFonts w:ascii="仿宋_GB2312" w:eastAsia="仿宋_GB2312" w:hAnsi="仿宋_GB2312" w:cs="仿宋_GB2312" w:hint="eastAsia"/>
          <w:sz w:val="32"/>
          <w:szCs w:val="32"/>
        </w:rPr>
        <w:t>12.93万元，占0.65%；</w:t>
      </w:r>
      <w:r w:rsidRPr="00823400">
        <w:rPr>
          <w:rFonts w:ascii="仿宋_GB2312" w:eastAsia="仿宋_GB2312" w:hAnsi="仿宋_GB2312" w:cs="仿宋_GB2312" w:hint="eastAsia"/>
          <w:b/>
          <w:sz w:val="32"/>
          <w:szCs w:val="32"/>
        </w:rPr>
        <w:t>社会保障和就业支出</w:t>
      </w:r>
      <w:r>
        <w:rPr>
          <w:rFonts w:ascii="仿宋_GB2312" w:eastAsia="仿宋_GB2312" w:hAnsi="仿宋_GB2312" w:cs="仿宋_GB2312" w:hint="eastAsia"/>
          <w:sz w:val="32"/>
          <w:szCs w:val="32"/>
        </w:rPr>
        <w:t>222.86万元，占11.30%；</w:t>
      </w:r>
      <w:r w:rsidRPr="00823400">
        <w:rPr>
          <w:rFonts w:ascii="仿宋_GB2312" w:eastAsia="仿宋_GB2312" w:hAnsi="仿宋_GB2312" w:cs="仿宋_GB2312" w:hint="eastAsia"/>
          <w:b/>
          <w:sz w:val="32"/>
          <w:szCs w:val="32"/>
        </w:rPr>
        <w:t>医疗卫生与计划生育支出</w:t>
      </w:r>
      <w:r>
        <w:rPr>
          <w:rFonts w:ascii="仿宋_GB2312" w:eastAsia="仿宋_GB2312" w:hAnsi="仿宋_GB2312" w:cs="仿宋_GB2312" w:hint="eastAsia"/>
          <w:sz w:val="32"/>
          <w:szCs w:val="32"/>
        </w:rPr>
        <w:t>78.41万元，占3.97%；</w:t>
      </w:r>
      <w:r w:rsidRPr="00823400">
        <w:rPr>
          <w:rFonts w:ascii="仿宋_GB2312" w:eastAsia="仿宋_GB2312" w:hAnsi="仿宋_GB2312" w:cs="仿宋_GB2312" w:hint="eastAsia"/>
          <w:b/>
          <w:sz w:val="32"/>
          <w:szCs w:val="32"/>
        </w:rPr>
        <w:t>资源勘探信息等支出</w:t>
      </w:r>
      <w:r>
        <w:rPr>
          <w:rFonts w:ascii="仿宋_GB2312" w:eastAsia="仿宋_GB2312" w:hAnsi="仿宋_GB2312" w:cs="仿宋_GB2312" w:hint="eastAsia"/>
          <w:sz w:val="32"/>
          <w:szCs w:val="32"/>
        </w:rPr>
        <w:t>3.39万元，占0.17%；</w:t>
      </w:r>
    </w:p>
    <w:p w:rsidR="00287809" w:rsidRDefault="00BB0179">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2019年度一般公共预算财政拨款支出年初预算为1972.84万元，支出决算为1972.84万元，完成年初预算的100%。其中：</w:t>
      </w:r>
    </w:p>
    <w:p w:rsidR="00287809" w:rsidRDefault="00BB0179">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一般公共服务支出（类）财政事务（款）行政运行（项）。</w:t>
      </w:r>
      <w:r>
        <w:rPr>
          <w:rFonts w:ascii="仿宋_GB2312" w:eastAsia="仿宋_GB2312" w:hAnsi="仿宋_GB2312" w:cs="仿宋_GB2312" w:hint="eastAsia"/>
          <w:sz w:val="32"/>
          <w:szCs w:val="32"/>
        </w:rPr>
        <w:t>年初预算为1578.54万元，支出决算为1578.54万元，完成年初预算的100%。</w:t>
      </w:r>
    </w:p>
    <w:p w:rsidR="00287809" w:rsidRDefault="00BB0179">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一般公共服务支出（类）财政事务（款）  预算改革业务（项）。</w:t>
      </w:r>
      <w:r>
        <w:rPr>
          <w:rFonts w:ascii="仿宋_GB2312" w:eastAsia="仿宋_GB2312" w:hAnsi="仿宋_GB2312" w:cs="仿宋_GB2312" w:hint="eastAsia"/>
          <w:sz w:val="32"/>
          <w:szCs w:val="32"/>
        </w:rPr>
        <w:t>年初预算为8万元，支出决算为8万元，完成年初预算的100%。</w:t>
      </w:r>
    </w:p>
    <w:p w:rsidR="00287809" w:rsidRDefault="00BB0179">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一般公共服务支出（类）财政事务（款）  财政国库业务（项）。</w:t>
      </w:r>
      <w:r>
        <w:rPr>
          <w:rFonts w:ascii="仿宋_GB2312" w:eastAsia="仿宋_GB2312" w:hAnsi="仿宋_GB2312" w:cs="仿宋_GB2312" w:hint="eastAsia"/>
          <w:sz w:val="32"/>
          <w:szCs w:val="32"/>
        </w:rPr>
        <w:t>年初预算为8.89万元，支出决算为8.89万元，完成年初预算的100%。</w:t>
      </w:r>
    </w:p>
    <w:p w:rsidR="00287809" w:rsidRDefault="00BB0179">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一般公共服务支出（类）财政事务（款）信息化建设（项）。</w:t>
      </w:r>
      <w:r>
        <w:rPr>
          <w:rFonts w:ascii="仿宋_GB2312" w:eastAsia="仿宋_GB2312" w:hAnsi="仿宋_GB2312" w:cs="仿宋_GB2312" w:hint="eastAsia"/>
          <w:sz w:val="32"/>
          <w:szCs w:val="32"/>
        </w:rPr>
        <w:t>年初预算为20万元，支出决算为20万元，完成年初预算的100%。</w:t>
      </w:r>
    </w:p>
    <w:p w:rsidR="00287809" w:rsidRDefault="00BB0179">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一般公共服务支出（类）  其他一般公共服务支出（款）  其他一般公共服务支出（项）。</w:t>
      </w:r>
      <w:r>
        <w:rPr>
          <w:rFonts w:ascii="仿宋_GB2312" w:eastAsia="仿宋_GB2312" w:hAnsi="仿宋_GB2312" w:cs="仿宋_GB2312" w:hint="eastAsia"/>
          <w:sz w:val="32"/>
          <w:szCs w:val="32"/>
        </w:rPr>
        <w:t>年初预算为39.81万元，支出决算为39.81万元，完成年初预算的100%。</w:t>
      </w:r>
    </w:p>
    <w:p w:rsidR="00287809" w:rsidRDefault="00BB0179">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教育支出（类）  职业教育（款）  中专教育（项）。</w:t>
      </w:r>
      <w:r>
        <w:rPr>
          <w:rFonts w:ascii="仿宋_GB2312" w:eastAsia="仿宋_GB2312" w:hAnsi="仿宋_GB2312" w:cs="仿宋_GB2312" w:hint="eastAsia"/>
          <w:sz w:val="32"/>
          <w:szCs w:val="32"/>
        </w:rPr>
        <w:t>年初预算为12.93万元，支出决算为12.93万元，完成年初预算的100%。</w:t>
      </w:r>
    </w:p>
    <w:p w:rsidR="00287809" w:rsidRDefault="00BB0179">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社会保障和就业支出（类）行政事业单位离退休（款）    归口管理的行政单位离退休（项）。</w:t>
      </w:r>
      <w:r>
        <w:rPr>
          <w:rFonts w:ascii="仿宋_GB2312" w:eastAsia="仿宋_GB2312" w:hAnsi="仿宋_GB2312" w:cs="仿宋_GB2312" w:hint="eastAsia"/>
          <w:sz w:val="32"/>
          <w:szCs w:val="32"/>
        </w:rPr>
        <w:t>年初预算为93.38万元，支出决算为93.38万元，完成年初预算的100%。</w:t>
      </w:r>
    </w:p>
    <w:p w:rsidR="00287809" w:rsidRDefault="00BB0179">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社会保障和就业支出（类）行政事业单位离退休（款） 机关事业单位基本养老保险缴费支出（项）。</w:t>
      </w:r>
      <w:r>
        <w:rPr>
          <w:rFonts w:ascii="仿宋_GB2312" w:eastAsia="仿宋_GB2312" w:hAnsi="仿宋_GB2312" w:cs="仿宋_GB2312" w:hint="eastAsia"/>
          <w:sz w:val="32"/>
          <w:szCs w:val="32"/>
        </w:rPr>
        <w:t>年初预算为129.48万元，支出决算为129.48万元，完成年初预算的100%。</w:t>
      </w:r>
    </w:p>
    <w:p w:rsidR="00287809" w:rsidRDefault="00BB0179">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医疗卫生与计划生育支出（类）行政事业单位医疗（款）  行政单位医疗（项）。</w:t>
      </w:r>
      <w:r>
        <w:rPr>
          <w:rFonts w:ascii="仿宋_GB2312" w:eastAsia="仿宋_GB2312" w:hAnsi="仿宋_GB2312" w:cs="仿宋_GB2312" w:hint="eastAsia"/>
          <w:sz w:val="32"/>
          <w:szCs w:val="32"/>
        </w:rPr>
        <w:t>年初预算为65.45万元，支出决算为65.45万元，完成年初预算的100%。</w:t>
      </w:r>
    </w:p>
    <w:p w:rsidR="00287809" w:rsidRDefault="00BB0179">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医疗卫生与计划生育支出（类）行政事业单位医疗（款） 其他行政事业单位医疗支出（项）。</w:t>
      </w:r>
      <w:r>
        <w:rPr>
          <w:rFonts w:ascii="仿宋_GB2312" w:eastAsia="仿宋_GB2312" w:hAnsi="仿宋_GB2312" w:cs="仿宋_GB2312" w:hint="eastAsia"/>
          <w:sz w:val="32"/>
          <w:szCs w:val="32"/>
        </w:rPr>
        <w:t>年初预算为12.95万元，支出决算为12.95万元，完成年初预算的100%。</w:t>
      </w:r>
    </w:p>
    <w:p w:rsidR="00287809" w:rsidRDefault="00BB0179">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资源勘探信息等支出  支持中小企业发展和管理支出。</w:t>
      </w:r>
      <w:r>
        <w:rPr>
          <w:rFonts w:ascii="仿宋_GB2312" w:eastAsia="仿宋_GB2312" w:hAnsi="仿宋_GB2312" w:cs="仿宋_GB2312" w:hint="eastAsia"/>
          <w:sz w:val="32"/>
          <w:szCs w:val="32"/>
        </w:rPr>
        <w:t>年初预算为3.39万元，支出决算为3.39万元，完成年初预算的100%。</w:t>
      </w: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六、一般公共预算财政拨款基本支出决算情况说明</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基本支出1972.84万元。与上年度相比，增加134.87万元，增长（下降）0.73%，其中：人员经费1425.60万元，主要包括：基本工资、津贴补贴、奖金、伙食补助费、绩效工资、机关事业单位基本养老</w:t>
      </w:r>
      <w:r>
        <w:rPr>
          <w:rFonts w:ascii="仿宋_GB2312" w:eastAsia="仿宋_GB2312" w:hAnsi="仿宋_GB2312" w:cs="仿宋_GB2312" w:hint="eastAsia"/>
          <w:sz w:val="32"/>
          <w:szCs w:val="32"/>
        </w:rPr>
        <w:lastRenderedPageBreak/>
        <w:t>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547.24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七、一般公共预算财政拨款“三公”经费支出决算情况说明</w:t>
      </w:r>
    </w:p>
    <w:p w:rsidR="00287809" w:rsidRDefault="00BB0179">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2019年度“三公”经费财政拨款支出预算为</w:t>
      </w:r>
      <w:r w:rsidR="00B64886">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万元，支出决算为</w:t>
      </w:r>
      <w:r w:rsidR="00B64886">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万元，完成预算的0%。</w:t>
      </w:r>
    </w:p>
    <w:p w:rsidR="00287809" w:rsidRDefault="00BB0179">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2019年度“三公”经费财政拨款支出决算中，因公出国（境）费支出决算0万元，完成预算的0%，占0%；公务用车购置及运行费支出决算0万元，完成预算的0%，占0%；</w:t>
      </w:r>
      <w:r>
        <w:rPr>
          <w:rFonts w:ascii="仿宋_GB2312" w:eastAsia="仿宋_GB2312" w:hAnsi="仿宋_GB2312" w:cs="仿宋_GB2312" w:hint="eastAsia"/>
          <w:sz w:val="32"/>
          <w:szCs w:val="32"/>
        </w:rPr>
        <w:lastRenderedPageBreak/>
        <w:t>公务接待费支出决算</w:t>
      </w:r>
      <w:r w:rsidR="00B64886">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万元，完成预算的</w:t>
      </w:r>
      <w:r w:rsidR="00B64886">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0%，占0%。具体情况如下：</w:t>
      </w:r>
    </w:p>
    <w:p w:rsidR="00287809" w:rsidRDefault="00BB0179">
      <w:pPr>
        <w:widowControl/>
        <w:numPr>
          <w:ilvl w:val="0"/>
          <w:numId w:val="4"/>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预算为0万元，支出决算为0万元，完成预算的0%。</w:t>
      </w:r>
      <w:r>
        <w:rPr>
          <w:rFonts w:ascii="仿宋_GB2312" w:eastAsia="仿宋_GB2312" w:hAnsi="仿宋_GB2312" w:cs="仿宋_GB2312" w:hint="eastAsia"/>
          <w:sz w:val="32"/>
          <w:szCs w:val="32"/>
          <w:u w:val="wave"/>
        </w:rPr>
        <w:t>全年因公出国（境）团组0个，累计0人次。</w:t>
      </w:r>
      <w:r>
        <w:rPr>
          <w:rFonts w:ascii="仿宋_GB2312" w:eastAsia="仿宋_GB2312" w:hAnsi="仿宋_GB2312" w:cs="仿宋_GB2312" w:hint="eastAsia"/>
          <w:sz w:val="32"/>
          <w:szCs w:val="32"/>
        </w:rPr>
        <w:t>开支内容包括：</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因公出国（境）费支出决算比上年度增加（减少）0万元，增长（下降）0%。</w:t>
      </w:r>
    </w:p>
    <w:p w:rsidR="00287809" w:rsidRDefault="00BB0179">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rPr>
        <w:t>预算为0万元，支出决算为0万元，完成预算的0%。</w:t>
      </w:r>
    </w:p>
    <w:p w:rsidR="00287809" w:rsidRDefault="00BB0179">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为0万元，购置车辆0辆。</w:t>
      </w:r>
    </w:p>
    <w:p w:rsidR="00287809" w:rsidRDefault="00BB0179">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0万元。2019年期末，部门开支财政拨款的公务用车保有量为0辆。</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公务用车购置及运行费支出决算比上年度增加（减少）0万元，增长（下降）0%。</w:t>
      </w:r>
    </w:p>
    <w:p w:rsidR="00287809" w:rsidRDefault="00BB0179">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rPr>
        <w:t>预算为0.1万元，支出决算为0.1万元，完成预算的</w:t>
      </w:r>
      <w:r w:rsidR="00B64886">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0%。其中：</w:t>
      </w:r>
    </w:p>
    <w:p w:rsidR="00287809" w:rsidRDefault="00BB0179">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0万元。2019年共接待国（境）外来访团组0个、来访外宾0人次（不包括陪同人员）。</w:t>
      </w:r>
    </w:p>
    <w:p w:rsidR="00287809" w:rsidRDefault="00BB0179">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0.1万元。2019年共接待国内来访团组1个、来宾1人次（不包括陪同人员）。</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公务接待费支出决算比上年度增加0.1万元，增长100%。</w:t>
      </w: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八、预算绩效情况说明</w:t>
      </w:r>
    </w:p>
    <w:p w:rsidR="00287809" w:rsidRDefault="00BB0179">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2019年，我部门（单位）纳入预算绩效管理的支出总额为20万元，其中人员经费支出0万元，公用经费支出20万元；支出项目共1个，支出金额20万元。其中，进行项目绩效自评1个，自评金额20</w:t>
      </w:r>
      <w:r w:rsidR="00B64886">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287809" w:rsidRDefault="00BB0179">
      <w:pPr>
        <w:widowControl/>
        <w:numPr>
          <w:ilvl w:val="0"/>
          <w:numId w:val="5"/>
        </w:numPr>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项目绩效自评结果。</w:t>
      </w:r>
    </w:p>
    <w:p w:rsidR="00287809" w:rsidRPr="00B64886" w:rsidRDefault="00B64886" w:rsidP="008538F9">
      <w:pPr>
        <w:widowControl/>
        <w:spacing w:line="590" w:lineRule="exact"/>
        <w:ind w:firstLineChars="200" w:firstLine="640"/>
        <w:jc w:val="left"/>
        <w:outlineLvl w:val="2"/>
        <w:rPr>
          <w:rFonts w:ascii="仿宋_GB2312" w:eastAsia="仿宋_GB2312" w:hAnsi="仿宋_GB2312" w:cs="仿宋_GB2312"/>
          <w:sz w:val="32"/>
          <w:szCs w:val="32"/>
        </w:rPr>
      </w:pPr>
      <w:r w:rsidRPr="00B64886">
        <w:rPr>
          <w:rFonts w:ascii="仿宋_GB2312" w:eastAsia="仿宋_GB2312" w:hAnsi="仿宋_GB2312" w:cs="仿宋_GB2312" w:hint="eastAsia"/>
          <w:sz w:val="32"/>
          <w:szCs w:val="32"/>
        </w:rPr>
        <w:t>加强财政政策</w:t>
      </w:r>
      <w:r w:rsidR="00A12ECA">
        <w:rPr>
          <w:rFonts w:ascii="仿宋_GB2312" w:eastAsia="仿宋_GB2312" w:hAnsi="仿宋_GB2312" w:cs="仿宋_GB2312" w:hint="eastAsia"/>
          <w:sz w:val="32"/>
          <w:szCs w:val="32"/>
        </w:rPr>
        <w:t>有</w:t>
      </w:r>
      <w:r w:rsidRPr="00B64886">
        <w:rPr>
          <w:rFonts w:ascii="仿宋_GB2312" w:eastAsia="仿宋_GB2312" w:hAnsi="仿宋_GB2312" w:cs="仿宋_GB2312" w:hint="eastAsia"/>
          <w:sz w:val="32"/>
          <w:szCs w:val="32"/>
        </w:rPr>
        <w:t>效管理，优化财政支出结构，提高财政资金使用效益。促进各项财政资金更加合理、有效的使用。2019年绩效自评结果为优。</w:t>
      </w:r>
    </w:p>
    <w:p w:rsidR="00287809" w:rsidRDefault="00BB0179">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九、政府性基金预算财政拨款支出决算情况说明</w:t>
      </w:r>
    </w:p>
    <w:p w:rsidR="00287809" w:rsidRDefault="004517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我部门</w:t>
      </w:r>
      <w:r w:rsidR="00BB0179">
        <w:rPr>
          <w:rFonts w:ascii="仿宋_GB2312" w:eastAsia="仿宋_GB2312" w:hAnsi="仿宋_GB2312" w:cs="仿宋_GB2312" w:hint="eastAsia"/>
          <w:sz w:val="32"/>
          <w:szCs w:val="32"/>
        </w:rPr>
        <w:t>2019年度政府性基金预算财政拨款支出年初预算为0万元，支出决算为0万元，完成年初预算的0%。</w:t>
      </w: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十、机关运行经费支出情况说明</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2019年度机关运行经费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初预算为547.24万元，支出决算为547.24万元，完成年初预算的100%。2018年度机关运行经费支出决算为370.47万元，相较上年增长47.71%。</w:t>
      </w: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十一、政府采购支出情况说明</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287809" w:rsidRDefault="00BB0179">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十二、国有资产占用情况说明</w:t>
      </w:r>
    </w:p>
    <w:p w:rsidR="00287809" w:rsidRDefault="00BB017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287809" w:rsidRDefault="00287809">
      <w:pPr>
        <w:widowControl/>
        <w:jc w:val="left"/>
        <w:rPr>
          <w:rFonts w:ascii="楷体_GB2312" w:eastAsia="楷体_GB2312" w:hAnsi="楷体_GB2312" w:cs="楷体_GB2312"/>
          <w:sz w:val="32"/>
          <w:szCs w:val="32"/>
        </w:rPr>
        <w:sectPr w:rsidR="00287809">
          <w:pgSz w:w="11906" w:h="16838"/>
          <w:pgMar w:top="1440" w:right="1800" w:bottom="1440" w:left="1800" w:header="720" w:footer="720" w:gutter="0"/>
          <w:pgNumType w:fmt="numberInDash"/>
          <w:cols w:space="720"/>
          <w:docGrid w:type="lines" w:linePitch="312"/>
        </w:sect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287809">
      <w:pPr>
        <w:widowControl/>
        <w:jc w:val="left"/>
        <w:rPr>
          <w:rFonts w:ascii="黑体" w:eastAsia="黑体" w:hAnsi="宋体" w:cs="宋体"/>
          <w:kern w:val="0"/>
          <w:sz w:val="28"/>
          <w:szCs w:val="28"/>
        </w:rPr>
      </w:pPr>
    </w:p>
    <w:p w:rsidR="00287809" w:rsidRDefault="00BB0179">
      <w:pPr>
        <w:jc w:val="center"/>
        <w:outlineLvl w:val="0"/>
        <w:rPr>
          <w:rFonts w:ascii="黑体" w:eastAsia="黑体" w:hAnsi="黑体"/>
          <w:sz w:val="48"/>
          <w:szCs w:val="48"/>
        </w:rPr>
      </w:pPr>
      <w:r>
        <w:rPr>
          <w:rFonts w:ascii="黑体" w:eastAsia="黑体" w:hAnsi="黑体" w:hint="eastAsia"/>
          <w:sz w:val="48"/>
          <w:szCs w:val="48"/>
        </w:rPr>
        <w:t>第四部分  名词解释</w:t>
      </w:r>
    </w:p>
    <w:p w:rsidR="00287809" w:rsidRDefault="00287809">
      <w:pPr>
        <w:jc w:val="center"/>
        <w:rPr>
          <w:rFonts w:ascii="黑体" w:eastAsia="黑体" w:hAnsi="黑体"/>
          <w:sz w:val="48"/>
          <w:szCs w:val="48"/>
        </w:rPr>
      </w:pPr>
    </w:p>
    <w:p w:rsidR="00287809" w:rsidRDefault="00287809">
      <w:pPr>
        <w:jc w:val="center"/>
        <w:outlineLvl w:val="0"/>
        <w:rPr>
          <w:rFonts w:ascii="黑体" w:eastAsia="黑体" w:hAnsi="黑体"/>
          <w:sz w:val="48"/>
          <w:szCs w:val="48"/>
        </w:rPr>
        <w:sectPr w:rsidR="00287809">
          <w:pgSz w:w="11906" w:h="16838"/>
          <w:pgMar w:top="1440" w:right="1531" w:bottom="1440" w:left="1587" w:header="850" w:footer="992" w:gutter="0"/>
          <w:pgNumType w:fmt="numberInDash"/>
          <w:cols w:space="720"/>
          <w:docGrid w:type="lines" w:linePitch="317"/>
        </w:sectPr>
      </w:pP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287809" w:rsidRDefault="00BB0179">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287809" w:rsidRDefault="00287809"/>
    <w:sectPr w:rsidR="00287809" w:rsidSect="00287809">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FAC" w:rsidRDefault="00CE7FAC" w:rsidP="00287809">
      <w:r>
        <w:separator/>
      </w:r>
    </w:p>
  </w:endnote>
  <w:endnote w:type="continuationSeparator" w:id="0">
    <w:p w:rsidR="00CE7FAC" w:rsidRDefault="00CE7FAC" w:rsidP="00287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09" w:rsidRDefault="00A3600C">
    <w:pPr>
      <w:pStyle w:val="a4"/>
    </w:pPr>
    <w:r>
      <w:pict>
        <v:rect id="文本框 2055" o:spid="_x0000_s1027" style="position:absolute;margin-left:0;margin-top:0;width:2in;height:2in;z-index:25166131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KYmcmWsAQAARAMA&#10;AA4AAAAAAAAAAQAgAAAAHwEAAGRycy9lMm9Eb2MueG1sUEsFBgAAAAAGAAYAWQEAAD0FAAAAAA==&#10;" filled="f" stroked="f">
          <v:textbox style="mso-fit-shape-to-text:t" inset="0,0,0,0">
            <w:txbxContent>
              <w:p w:rsidR="00287809" w:rsidRDefault="00A3600C">
                <w:pPr>
                  <w:snapToGrid w:val="0"/>
                  <w:rPr>
                    <w:sz w:val="18"/>
                  </w:rPr>
                </w:pPr>
                <w:r>
                  <w:rPr>
                    <w:rFonts w:hint="eastAsia"/>
                    <w:sz w:val="18"/>
                  </w:rPr>
                  <w:fldChar w:fldCharType="begin"/>
                </w:r>
                <w:r w:rsidR="00BB0179">
                  <w:rPr>
                    <w:rFonts w:hint="eastAsia"/>
                    <w:sz w:val="18"/>
                  </w:rPr>
                  <w:instrText xml:space="preserve"> PAGE  \* MERGEFORMAT </w:instrText>
                </w:r>
                <w:r>
                  <w:rPr>
                    <w:rFonts w:hint="eastAsia"/>
                    <w:sz w:val="18"/>
                  </w:rPr>
                  <w:fldChar w:fldCharType="separate"/>
                </w:r>
                <w:r w:rsidR="00BB0179">
                  <w:rPr>
                    <w:sz w:val="18"/>
                  </w:rPr>
                  <w:t>- 22 -</w:t>
                </w:r>
                <w:r>
                  <w:rPr>
                    <w:rFonts w:hint="eastAsia"/>
                    <w:sz w:val="1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09" w:rsidRDefault="00A3600C">
    <w:pPr>
      <w:pStyle w:val="a4"/>
    </w:pPr>
    <w:r>
      <w:pict>
        <v:rect id="文本框 2054" o:spid="_x0000_s1026" style="position:absolute;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IpA016sAQAARAMA&#10;AA4AAAAAAAAAAQAgAAAAHwEAAGRycy9lMm9Eb2MueG1sUEsFBgAAAAAGAAYAWQEAAD0FAAAAAA==&#10;" filled="f" stroked="f">
          <v:textbox style="mso-fit-shape-to-text:t" inset="0,0,0,0">
            <w:txbxContent>
              <w:p w:rsidR="00287809" w:rsidRDefault="00A3600C">
                <w:pPr>
                  <w:snapToGrid w:val="0"/>
                  <w:rPr>
                    <w:sz w:val="18"/>
                  </w:rPr>
                </w:pPr>
                <w:r>
                  <w:rPr>
                    <w:rFonts w:hint="eastAsia"/>
                    <w:sz w:val="18"/>
                  </w:rPr>
                  <w:fldChar w:fldCharType="begin"/>
                </w:r>
                <w:r w:rsidR="00BB0179">
                  <w:rPr>
                    <w:rFonts w:hint="eastAsia"/>
                    <w:sz w:val="18"/>
                  </w:rPr>
                  <w:instrText xml:space="preserve"> PAGE  \* MERGEFORMAT </w:instrText>
                </w:r>
                <w:r>
                  <w:rPr>
                    <w:rFonts w:hint="eastAsia"/>
                    <w:sz w:val="18"/>
                  </w:rPr>
                  <w:fldChar w:fldCharType="separate"/>
                </w:r>
                <w:r w:rsidR="004517FB">
                  <w:rPr>
                    <w:noProof/>
                    <w:sz w:val="18"/>
                  </w:rPr>
                  <w:t>- 1 -</w:t>
                </w:r>
                <w:r>
                  <w:rPr>
                    <w:rFonts w:hint="eastAsia"/>
                    <w:sz w:val="18"/>
                  </w:rPr>
                  <w:fldChar w:fldCharType="end"/>
                </w:r>
              </w:p>
            </w:txbxContent>
          </v:textbox>
          <w10:wrap anchorx="margin"/>
        </v:rect>
      </w:pict>
    </w:r>
    <w:r>
      <w:pict>
        <v:rect id="文本框 1027" o:spid="_x0000_s1028"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0lQrn6sBAABEAwAA&#10;DgAAAAAAAAABACAAAAAfAQAAZHJzL2Uyb0RvYy54bWxQSwUGAAAAAAYABgBZAQAAPAUAAAAA&#10;" filled="f" stroked="f">
          <v:textbox style="mso-fit-shape-to-text:t" inset="0,0,0,0">
            <w:txbxContent>
              <w:p w:rsidR="00287809" w:rsidRDefault="00287809"/>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FAC" w:rsidRDefault="00CE7FAC" w:rsidP="00287809">
      <w:r>
        <w:separator/>
      </w:r>
    </w:p>
  </w:footnote>
  <w:footnote w:type="continuationSeparator" w:id="0">
    <w:p w:rsidR="00CE7FAC" w:rsidRDefault="00CE7FAC" w:rsidP="00287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5FED12"/>
    <w:multiLevelType w:val="singleLevel"/>
    <w:tmpl w:val="9B5FED12"/>
    <w:lvl w:ilvl="0">
      <w:start w:val="2"/>
      <w:numFmt w:val="chineseCounting"/>
      <w:suff w:val="nothing"/>
      <w:lvlText w:val="（%1）"/>
      <w:lvlJc w:val="left"/>
      <w:rPr>
        <w:rFonts w:hint="eastAsia"/>
      </w:rPr>
    </w:lvl>
  </w:abstractNum>
  <w:abstractNum w:abstractNumId="1">
    <w:nsid w:val="1F1EC832"/>
    <w:multiLevelType w:val="singleLevel"/>
    <w:tmpl w:val="1F1EC832"/>
    <w:lvl w:ilvl="0">
      <w:start w:val="1"/>
      <w:numFmt w:val="chineseCounting"/>
      <w:suff w:val="space"/>
      <w:lvlText w:val="%1、"/>
      <w:lvlJc w:val="left"/>
      <w:rPr>
        <w:rFonts w:hint="eastAsia"/>
      </w:rPr>
    </w:lvl>
  </w:abstractNum>
  <w:abstractNum w:abstractNumId="2">
    <w:nsid w:val="2300B9E7"/>
    <w:multiLevelType w:val="singleLevel"/>
    <w:tmpl w:val="2300B9E7"/>
    <w:lvl w:ilvl="0">
      <w:start w:val="1"/>
      <w:numFmt w:val="decimal"/>
      <w:suff w:val="nothing"/>
      <w:lvlText w:val="%1．"/>
      <w:lvlJc w:val="left"/>
    </w:lvl>
  </w:abstractNum>
  <w:abstractNum w:abstractNumId="3">
    <w:nsid w:val="2591D4E6"/>
    <w:multiLevelType w:val="singleLevel"/>
    <w:tmpl w:val="2591D4E6"/>
    <w:lvl w:ilvl="0">
      <w:start w:val="1"/>
      <w:numFmt w:val="decimal"/>
      <w:suff w:val="nothing"/>
      <w:lvlText w:val="%1．"/>
      <w:lvlJc w:val="left"/>
    </w:lvl>
  </w:abstractNum>
  <w:abstractNum w:abstractNumId="4">
    <w:nsid w:val="5971BE17"/>
    <w:multiLevelType w:val="singleLevel"/>
    <w:tmpl w:val="5971BE17"/>
    <w:lvl w:ilvl="0">
      <w:start w:val="1"/>
      <w:numFmt w:val="chineseCounting"/>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7809"/>
    <w:rsid w:val="000445C0"/>
    <w:rsid w:val="00287809"/>
    <w:rsid w:val="004517FB"/>
    <w:rsid w:val="00604CD5"/>
    <w:rsid w:val="00823400"/>
    <w:rsid w:val="008538F9"/>
    <w:rsid w:val="00A12ECA"/>
    <w:rsid w:val="00A3600C"/>
    <w:rsid w:val="00B23124"/>
    <w:rsid w:val="00B64886"/>
    <w:rsid w:val="00BB0179"/>
    <w:rsid w:val="00CE7FAC"/>
    <w:rsid w:val="00E2213C"/>
    <w:rsid w:val="0602596E"/>
    <w:rsid w:val="07875FBF"/>
    <w:rsid w:val="093B2726"/>
    <w:rsid w:val="09A03606"/>
    <w:rsid w:val="0C4B312D"/>
    <w:rsid w:val="0E5A0D96"/>
    <w:rsid w:val="0EE11DE2"/>
    <w:rsid w:val="0F013F51"/>
    <w:rsid w:val="15315279"/>
    <w:rsid w:val="16CF098B"/>
    <w:rsid w:val="19056008"/>
    <w:rsid w:val="1A590004"/>
    <w:rsid w:val="1D45353B"/>
    <w:rsid w:val="1E9253E7"/>
    <w:rsid w:val="1FCB3DC3"/>
    <w:rsid w:val="209708D2"/>
    <w:rsid w:val="21DC286A"/>
    <w:rsid w:val="21ED7C23"/>
    <w:rsid w:val="23244247"/>
    <w:rsid w:val="240E06F2"/>
    <w:rsid w:val="25F27B6F"/>
    <w:rsid w:val="282B041A"/>
    <w:rsid w:val="29BF22CE"/>
    <w:rsid w:val="2C4F2085"/>
    <w:rsid w:val="2CF4363E"/>
    <w:rsid w:val="2D270035"/>
    <w:rsid w:val="2D5347F6"/>
    <w:rsid w:val="30142348"/>
    <w:rsid w:val="31BC626A"/>
    <w:rsid w:val="326478AA"/>
    <w:rsid w:val="32B7765F"/>
    <w:rsid w:val="35B97A11"/>
    <w:rsid w:val="362F4556"/>
    <w:rsid w:val="37262854"/>
    <w:rsid w:val="3E4C25CA"/>
    <w:rsid w:val="416E5E0A"/>
    <w:rsid w:val="4701142B"/>
    <w:rsid w:val="48CD3AC6"/>
    <w:rsid w:val="497A2108"/>
    <w:rsid w:val="4CE64136"/>
    <w:rsid w:val="4D1B0E5F"/>
    <w:rsid w:val="4EFC09E4"/>
    <w:rsid w:val="55ED715E"/>
    <w:rsid w:val="576E5916"/>
    <w:rsid w:val="587F2E51"/>
    <w:rsid w:val="589A6BA5"/>
    <w:rsid w:val="5BA12912"/>
    <w:rsid w:val="5D304E91"/>
    <w:rsid w:val="5ED32C31"/>
    <w:rsid w:val="5F7878A2"/>
    <w:rsid w:val="65101DB9"/>
    <w:rsid w:val="65CD4C84"/>
    <w:rsid w:val="679E610D"/>
    <w:rsid w:val="686B6B5C"/>
    <w:rsid w:val="6C2F27B8"/>
    <w:rsid w:val="76794282"/>
    <w:rsid w:val="77EC54B8"/>
    <w:rsid w:val="7B683207"/>
    <w:rsid w:val="7BAF2AB3"/>
    <w:rsid w:val="7CA45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780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87809"/>
    <w:pPr>
      <w:jc w:val="left"/>
    </w:pPr>
  </w:style>
  <w:style w:type="paragraph" w:styleId="a4">
    <w:name w:val="footer"/>
    <w:basedOn w:val="a"/>
    <w:qFormat/>
    <w:rsid w:val="00287809"/>
    <w:pPr>
      <w:tabs>
        <w:tab w:val="center" w:pos="4153"/>
        <w:tab w:val="right" w:pos="8306"/>
      </w:tabs>
      <w:snapToGrid w:val="0"/>
      <w:jc w:val="left"/>
    </w:pPr>
    <w:rPr>
      <w:sz w:val="18"/>
      <w:szCs w:val="18"/>
    </w:rPr>
  </w:style>
  <w:style w:type="character" w:styleId="a5">
    <w:name w:val="annotation reference"/>
    <w:basedOn w:val="a0"/>
    <w:qFormat/>
    <w:rsid w:val="00287809"/>
    <w:rPr>
      <w:sz w:val="21"/>
      <w:szCs w:val="21"/>
    </w:rPr>
  </w:style>
  <w:style w:type="character" w:customStyle="1" w:styleId="font11">
    <w:name w:val="font11"/>
    <w:basedOn w:val="a0"/>
    <w:qFormat/>
    <w:rsid w:val="00287809"/>
    <w:rPr>
      <w:rFonts w:ascii="宋体" w:eastAsia="宋体" w:hAnsi="宋体" w:cs="宋体" w:hint="eastAsia"/>
      <w:color w:val="000000"/>
      <w:sz w:val="20"/>
      <w:szCs w:val="20"/>
      <w:u w:val="none"/>
    </w:rPr>
  </w:style>
  <w:style w:type="character" w:customStyle="1" w:styleId="font01">
    <w:name w:val="font01"/>
    <w:basedOn w:val="a0"/>
    <w:qFormat/>
    <w:rsid w:val="00287809"/>
    <w:rPr>
      <w:rFonts w:ascii="宋体" w:eastAsia="宋体" w:hAnsi="宋体" w:cs="宋体" w:hint="eastAsia"/>
      <w:color w:val="000000"/>
      <w:sz w:val="22"/>
      <w:szCs w:val="22"/>
      <w:u w:val="none"/>
    </w:rPr>
  </w:style>
  <w:style w:type="character" w:customStyle="1" w:styleId="font51">
    <w:name w:val="font51"/>
    <w:basedOn w:val="a0"/>
    <w:qFormat/>
    <w:rsid w:val="00287809"/>
    <w:rPr>
      <w:rFonts w:ascii="宋体" w:eastAsia="宋体" w:hAnsi="宋体" w:cs="宋体" w:hint="eastAsia"/>
      <w:color w:val="000000"/>
      <w:sz w:val="24"/>
      <w:szCs w:val="24"/>
      <w:u w:val="none"/>
    </w:rPr>
  </w:style>
  <w:style w:type="character" w:customStyle="1" w:styleId="font41">
    <w:name w:val="font41"/>
    <w:basedOn w:val="a0"/>
    <w:qFormat/>
    <w:rsid w:val="00287809"/>
    <w:rPr>
      <w:rFonts w:ascii="宋体" w:eastAsia="宋体" w:hAnsi="宋体" w:cs="宋体" w:hint="eastAsia"/>
      <w:color w:val="000000"/>
      <w:sz w:val="24"/>
      <w:szCs w:val="24"/>
      <w:u w:val="none"/>
    </w:rPr>
  </w:style>
  <w:style w:type="paragraph" w:styleId="a6">
    <w:name w:val="header"/>
    <w:basedOn w:val="a"/>
    <w:link w:val="Char"/>
    <w:rsid w:val="008538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538F9"/>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dc:title>
  <dc:creator>Administrator</dc:creator>
  <cp:lastModifiedBy>Administrator</cp:lastModifiedBy>
  <cp:revision>5</cp:revision>
  <dcterms:created xsi:type="dcterms:W3CDTF">2014-10-29T12:08:00Z</dcterms:created>
  <dcterms:modified xsi:type="dcterms:W3CDTF">2021-06-18T03:36:00Z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D3C5F0CD940D4A199066DA8A5CAC24A7</vt:lpwstr>
  </property>
</Properties>
</file>