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lang w:eastAsia="zh-CN"/>
        </w:rPr>
      </w:pP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2018年度</w:t>
      </w:r>
    </w:p>
    <w:p>
      <w:pPr>
        <w:jc w:val="center"/>
        <w:rPr>
          <w:rFonts w:ascii="黑体" w:hAnsi="黑体" w:eastAsia="黑体" w:cs="黑体"/>
          <w:sz w:val="52"/>
          <w:szCs w:val="52"/>
        </w:rPr>
      </w:pPr>
      <w:r>
        <w:rPr>
          <w:rFonts w:hint="eastAsia" w:ascii="黑体" w:hAnsi="黑体" w:eastAsia="黑体" w:cs="黑体"/>
          <w:sz w:val="52"/>
          <w:szCs w:val="52"/>
        </w:rPr>
        <w:t>伊川县档案局部门决算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伊川县档案局概况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2018年度部门决算表（见</w:t>
      </w:r>
      <w:r>
        <w:rPr>
          <w:rFonts w:ascii="黑体" w:hAnsi="黑体" w:eastAsia="黑体" w:cs="黑体"/>
          <w:sz w:val="32"/>
          <w:szCs w:val="32"/>
        </w:rPr>
        <w:t>附表）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
    <w:p/>
    <w:p/>
    <w:p/>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伊川县档案局概况</w:t>
      </w:r>
    </w:p>
    <w:p/>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jc w:val="left"/>
        <w:outlineLvl w:val="1"/>
        <w:rPr>
          <w:rFonts w:hint="eastAsia"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autoSpaceDE w:val="0"/>
        <w:autoSpaceDN w:val="0"/>
        <w:adjustRightInd w:val="0"/>
        <w:ind w:firstLine="640"/>
        <w:jc w:val="left"/>
        <w:rPr>
          <w:rFonts w:ascii="仿宋" w:hAnsi="仿宋" w:eastAsia="仿宋" w:cs="黑体"/>
          <w:sz w:val="32"/>
          <w:szCs w:val="32"/>
        </w:rPr>
      </w:pPr>
      <w:r>
        <w:rPr>
          <w:rFonts w:hint="eastAsia" w:ascii="仿宋" w:hAnsi="仿宋" w:eastAsia="仿宋" w:cs="黑体"/>
          <w:sz w:val="32"/>
          <w:szCs w:val="32"/>
        </w:rPr>
        <w:t>伊川县档案局是属县委管理的直属正科级机构。主管全县档案工作。主要职能</w:t>
      </w:r>
    </w:p>
    <w:p>
      <w:pPr>
        <w:autoSpaceDE w:val="0"/>
        <w:autoSpaceDN w:val="0"/>
        <w:adjustRightInd w:val="0"/>
        <w:ind w:firstLine="640"/>
        <w:jc w:val="left"/>
        <w:rPr>
          <w:rFonts w:ascii="仿宋" w:hAnsi="仿宋" w:eastAsia="仿宋" w:cs="黑体"/>
          <w:sz w:val="32"/>
          <w:szCs w:val="32"/>
        </w:rPr>
      </w:pPr>
      <w:r>
        <w:rPr>
          <w:rFonts w:ascii="仿宋" w:hAnsi="仿宋" w:eastAsia="仿宋" w:cs="黑体"/>
          <w:sz w:val="32"/>
          <w:szCs w:val="32"/>
        </w:rPr>
        <w:t>1</w:t>
      </w:r>
      <w:r>
        <w:rPr>
          <w:rFonts w:hint="eastAsia" w:ascii="仿宋" w:hAnsi="仿宋" w:eastAsia="仿宋" w:cs="黑体"/>
          <w:sz w:val="32"/>
          <w:szCs w:val="32"/>
        </w:rPr>
        <w:t>、贯彻执行党和国家关于档案工作的方针政策和法规，对全县档案工作进行宏观管理，监督指导全县、团体、企事业单位、乡镇各行政村的档案工作；</w:t>
      </w:r>
    </w:p>
    <w:p>
      <w:pPr>
        <w:autoSpaceDE w:val="0"/>
        <w:autoSpaceDN w:val="0"/>
        <w:adjustRightInd w:val="0"/>
        <w:ind w:firstLine="640"/>
        <w:jc w:val="left"/>
        <w:rPr>
          <w:rFonts w:ascii="仿宋" w:hAnsi="仿宋" w:eastAsia="仿宋" w:cs="黑体"/>
          <w:sz w:val="32"/>
          <w:szCs w:val="32"/>
        </w:rPr>
      </w:pPr>
      <w:r>
        <w:rPr>
          <w:rFonts w:ascii="仿宋" w:hAnsi="仿宋" w:eastAsia="仿宋" w:cs="黑体"/>
          <w:sz w:val="32"/>
          <w:szCs w:val="32"/>
        </w:rPr>
        <w:t>2</w:t>
      </w:r>
      <w:r>
        <w:rPr>
          <w:rFonts w:hint="eastAsia" w:ascii="仿宋" w:hAnsi="仿宋" w:eastAsia="仿宋" w:cs="黑体"/>
          <w:sz w:val="32"/>
          <w:szCs w:val="32"/>
        </w:rPr>
        <w:t>、负责接收、征集、鉴定、保管全县各机关单位的档案；</w:t>
      </w:r>
    </w:p>
    <w:p>
      <w:pPr>
        <w:autoSpaceDE w:val="0"/>
        <w:autoSpaceDN w:val="0"/>
        <w:adjustRightInd w:val="0"/>
        <w:ind w:firstLine="640"/>
        <w:jc w:val="left"/>
        <w:rPr>
          <w:rFonts w:ascii="仿宋" w:hAnsi="仿宋" w:eastAsia="仿宋" w:cs="黑体"/>
          <w:sz w:val="32"/>
          <w:szCs w:val="32"/>
        </w:rPr>
      </w:pPr>
      <w:r>
        <w:rPr>
          <w:rFonts w:ascii="仿宋" w:hAnsi="仿宋" w:eastAsia="仿宋" w:cs="黑体"/>
          <w:sz w:val="32"/>
          <w:szCs w:val="32"/>
        </w:rPr>
        <w:t>3</w:t>
      </w:r>
      <w:r>
        <w:rPr>
          <w:rFonts w:hint="eastAsia" w:ascii="仿宋" w:hAnsi="仿宋" w:eastAsia="仿宋" w:cs="黑体"/>
          <w:sz w:val="32"/>
          <w:szCs w:val="32"/>
        </w:rPr>
        <w:t>、开展档案查阅利用服务工作；</w:t>
      </w:r>
    </w:p>
    <w:p>
      <w:pPr>
        <w:autoSpaceDE w:val="0"/>
        <w:autoSpaceDN w:val="0"/>
        <w:adjustRightInd w:val="0"/>
        <w:ind w:firstLine="640"/>
        <w:jc w:val="left"/>
        <w:rPr>
          <w:rFonts w:ascii="仿宋" w:hAnsi="仿宋" w:eastAsia="仿宋" w:cs="黑体"/>
          <w:sz w:val="32"/>
          <w:szCs w:val="32"/>
        </w:rPr>
      </w:pPr>
      <w:r>
        <w:rPr>
          <w:rFonts w:ascii="仿宋" w:hAnsi="仿宋" w:eastAsia="仿宋" w:cs="黑体"/>
          <w:sz w:val="32"/>
          <w:szCs w:val="32"/>
        </w:rPr>
        <w:t>4</w:t>
      </w:r>
      <w:r>
        <w:rPr>
          <w:rFonts w:hint="eastAsia" w:ascii="仿宋" w:hAnsi="仿宋" w:eastAsia="仿宋" w:cs="黑体"/>
          <w:sz w:val="32"/>
          <w:szCs w:val="32"/>
        </w:rPr>
        <w:t>、完成县委、县政府和上级部门交办的其它工作。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autoSpaceDE w:val="0"/>
        <w:autoSpaceDN w:val="0"/>
        <w:adjustRightInd w:val="0"/>
        <w:ind w:firstLine="640"/>
        <w:jc w:val="left"/>
        <w:rPr>
          <w:rFonts w:ascii="仿宋" w:hAnsi="仿宋" w:eastAsia="仿宋" w:cs="黑体"/>
          <w:sz w:val="32"/>
          <w:szCs w:val="32"/>
        </w:rPr>
      </w:pPr>
      <w:r>
        <w:rPr>
          <w:rFonts w:hint="eastAsia" w:ascii="仿宋" w:hAnsi="仿宋" w:eastAsia="仿宋" w:cs="黑体"/>
          <w:sz w:val="32"/>
          <w:szCs w:val="32"/>
        </w:rPr>
        <w:t>现内设办公室、业务指导股、档案馆、信息股、政策法规股。</w:t>
      </w:r>
    </w:p>
    <w:p>
      <w:pPr>
        <w:widowControl/>
        <w:ind w:firstLine="640" w:firstLineChars="200"/>
        <w:jc w:val="left"/>
        <w:rPr>
          <w:rFonts w:ascii="仿宋" w:hAnsi="仿宋" w:eastAsia="仿宋" w:cs="仿宋_GB2312"/>
          <w:kern w:val="0"/>
          <w:sz w:val="32"/>
          <w:szCs w:val="32"/>
        </w:rPr>
      </w:pPr>
      <w:r>
        <w:rPr>
          <w:rFonts w:hint="eastAsia" w:ascii="仿宋_GB2312" w:hAnsi="仿宋_GB2312" w:eastAsia="仿宋_GB2312" w:cs="仿宋_GB2312"/>
          <w:kern w:val="0"/>
          <w:sz w:val="32"/>
          <w:szCs w:val="32"/>
        </w:rPr>
        <w:t>从决算单位构成看，伊川县档案局部门决算包括：本级部门决算，</w:t>
      </w:r>
      <w:r>
        <w:rPr>
          <w:rFonts w:hint="eastAsia" w:ascii="仿宋" w:hAnsi="仿宋" w:eastAsia="仿宋"/>
          <w:color w:val="555555"/>
          <w:sz w:val="32"/>
          <w:szCs w:val="32"/>
          <w:shd w:val="clear" w:color="auto" w:fill="FFFFFF"/>
        </w:rPr>
        <w:t>无独立核算的二级机构。</w:t>
      </w:r>
    </w:p>
    <w:p/>
    <w:p/>
    <w:p/>
    <w:p/>
    <w:p/>
    <w:p/>
    <w:p/>
    <w:p/>
    <w:p/>
    <w:p/>
    <w:p/>
    <w:p>
      <w:pPr>
        <w:jc w:val="both"/>
        <w:outlineLvl w:val="0"/>
        <w:rPr>
          <w:rFonts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4"/>
          <w:szCs w:val="48"/>
        </w:rPr>
      </w:pPr>
      <w:r>
        <w:rPr>
          <w:rFonts w:hint="eastAsia" w:ascii="黑体" w:hAnsi="黑体" w:eastAsia="黑体" w:cs="黑体"/>
          <w:sz w:val="48"/>
          <w:szCs w:val="48"/>
        </w:rPr>
        <w:t xml:space="preserve">第二部分  </w:t>
      </w:r>
      <w:r>
        <w:rPr>
          <w:rFonts w:hint="eastAsia" w:ascii="黑体" w:hAnsi="黑体" w:eastAsia="黑体" w:cs="黑体"/>
          <w:sz w:val="44"/>
          <w:szCs w:val="48"/>
        </w:rPr>
        <w:t>2018年度部门决算表（见</w:t>
      </w:r>
      <w:r>
        <w:rPr>
          <w:rFonts w:ascii="黑体" w:hAnsi="黑体" w:eastAsia="黑体" w:cs="黑体"/>
          <w:sz w:val="44"/>
          <w:szCs w:val="48"/>
        </w:rPr>
        <w:t>附表）</w:t>
      </w:r>
    </w:p>
    <w:p/>
    <w:p/>
    <w:p/>
    <w:p/>
    <w:p/>
    <w:p/>
    <w:p/>
    <w:p/>
    <w:p/>
    <w:p/>
    <w:p/>
    <w:p/>
    <w:p/>
    <w:p/>
    <w:p/>
    <w:p/>
    <w:p/>
    <w:p/>
    <w:p/>
    <w:p/>
    <w:p/>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both"/>
        <w:outlineLvl w:val="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第三部分  2018年度部门决算情况说明</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2018年度收、支总计均为149.72万元。与上年度相比，收、支总计各减少0.25万元，下降0.17%。主要原因是压减经费。</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2018年度收入合计149.69万元，其中：财政拨款收入149.69万元，占100%。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2018年度支出合计149.72万元，其中：基本支出149.72万元，占100%。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2018年度财政拨款收、支总计均为149.72万元。与上年度相比，财政拨款收、支总计各减少0.25万元，下降0.17%。主要原因是压减经费。</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2018年度一般公共预算财政拨款支出149.72万元。与上年度相比，一般公共预算财政拨款支出减少0.25万元，下降0.17%。主要原因是压减经费。</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autoSpaceDE w:val="0"/>
        <w:autoSpaceDN w:val="0"/>
        <w:adjustRightInd w:val="0"/>
        <w:ind w:firstLine="640"/>
        <w:jc w:val="left"/>
        <w:rPr>
          <w:rFonts w:ascii="仿宋" w:hAnsi="仿宋" w:eastAsia="仿宋" w:cs="仿宋"/>
          <w:sz w:val="32"/>
          <w:szCs w:val="32"/>
        </w:rPr>
      </w:pPr>
      <w:r>
        <w:rPr>
          <w:rFonts w:hint="eastAsia" w:ascii="仿宋" w:hAnsi="仿宋" w:eastAsia="仿宋" w:cs="仿宋_GB2312"/>
          <w:sz w:val="32"/>
          <w:szCs w:val="32"/>
        </w:rPr>
        <w:t>2018年度一般公共预算财政拨款支出149.72万元，主要用于以下方面：一般公共服务（类）支出121.25万元，占81%；</w:t>
      </w:r>
      <w:r>
        <w:rPr>
          <w:rFonts w:hint="eastAsia" w:ascii="仿宋" w:hAnsi="仿宋" w:eastAsia="仿宋" w:cs="仿宋"/>
          <w:sz w:val="32"/>
          <w:szCs w:val="32"/>
        </w:rPr>
        <w:t>社会保障和就业（类）支出21.91万元，占14.6</w:t>
      </w:r>
      <w:r>
        <w:rPr>
          <w:rFonts w:ascii="仿宋" w:hAnsi="仿宋" w:eastAsia="仿宋" w:cs="仿宋"/>
          <w:sz w:val="32"/>
          <w:szCs w:val="32"/>
        </w:rPr>
        <w:t>%</w:t>
      </w:r>
      <w:r>
        <w:rPr>
          <w:rFonts w:hint="eastAsia" w:ascii="仿宋" w:hAnsi="仿宋" w:eastAsia="仿宋" w:cs="仿宋"/>
          <w:sz w:val="32"/>
          <w:szCs w:val="32"/>
        </w:rPr>
        <w:t>；医疗卫生和计划生育（类）支出6.56万元，占4.4</w:t>
      </w:r>
      <w:r>
        <w:rPr>
          <w:rFonts w:ascii="仿宋" w:hAnsi="仿宋" w:eastAsia="仿宋" w:cs="仿宋"/>
          <w:sz w:val="32"/>
          <w:szCs w:val="32"/>
        </w:rPr>
        <w:t>%</w:t>
      </w:r>
      <w:r>
        <w:rPr>
          <w:rFonts w:hint="eastAsia" w:ascii="仿宋" w:hAnsi="仿宋" w:eastAsia="仿宋"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2018年度一般公共预算财政拨款支出年初预算为150.59万元，支出决算为149.72万元，完成年初预算的99.42%。</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1．一般公共服务支出（类）档案事务（款）行政运行（项）。</w:t>
      </w:r>
      <w:r>
        <w:rPr>
          <w:rFonts w:hint="eastAsia" w:ascii="仿宋" w:hAnsi="仿宋" w:eastAsia="仿宋" w:cs="仿宋_GB2312"/>
          <w:sz w:val="32"/>
          <w:szCs w:val="32"/>
        </w:rPr>
        <w:t>年初预算为37.63万元，支出决算为53.89万元，完成年初预算的143.21%。决算数与年初预算数存在差异的主要原因是人员工资增加。</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2．一般公共服务支出（类）档案事务（款）档案馆（项）。</w:t>
      </w:r>
      <w:r>
        <w:rPr>
          <w:rFonts w:hint="eastAsia" w:ascii="仿宋" w:hAnsi="仿宋" w:eastAsia="仿宋" w:cs="仿宋_GB2312"/>
          <w:sz w:val="32"/>
          <w:szCs w:val="32"/>
        </w:rPr>
        <w:t>年初预算为88.27万元，支出决算为67.35万元，完成年初预算的76.29%。决算数与年初预算数存在差异的主要原因是财政资金收回。</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3．社会保障和就业支出（类）行政事业单位离退休（款）事业单位离退休（项）。</w:t>
      </w:r>
      <w:r>
        <w:rPr>
          <w:rFonts w:hint="eastAsia" w:ascii="仿宋" w:hAnsi="仿宋" w:eastAsia="仿宋" w:cs="仿宋_GB2312"/>
          <w:sz w:val="32"/>
          <w:szCs w:val="32"/>
        </w:rPr>
        <w:t>年初预算为1.31万元，支出决算为6.33万元，完成年初预算的483.2%。决算数与年初预算数存在差异的主要原因是增加退休人员物业补贴等。</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4．社会保障和就业支出（类）行政事业单位离退休（款）机关事业单位基本养老保险缴费支出（项）。</w:t>
      </w:r>
      <w:r>
        <w:rPr>
          <w:rFonts w:hint="eastAsia" w:ascii="仿宋" w:hAnsi="仿宋" w:eastAsia="仿宋" w:cs="仿宋_GB2312"/>
          <w:sz w:val="32"/>
          <w:szCs w:val="32"/>
        </w:rPr>
        <w:t>年初预算为16.35万元，支出决算为15.58万元，完成年初预算的95.3%。决算数与年初预算数存在差异的主要原因是人员变动。</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5．医疗卫生与计划生育支出（类）行政事业单位医疗（款）行政单位医疗（项）。</w:t>
      </w:r>
      <w:r>
        <w:rPr>
          <w:rFonts w:hint="eastAsia" w:ascii="仿宋" w:hAnsi="仿宋" w:eastAsia="仿宋" w:cs="仿宋_GB2312"/>
          <w:sz w:val="32"/>
          <w:szCs w:val="32"/>
        </w:rPr>
        <w:t>年初预算为6.24万元，支出决算为5.88万元，完成年初预算的95.29%。决算数与年初预算数存在差异的主要原因是人员变动。</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6．医疗卫生与计划生育支出（类）行政事业单位医疗（款）其他行政事业单位医疗支出（项）。</w:t>
      </w:r>
      <w:r>
        <w:rPr>
          <w:rFonts w:hint="eastAsia" w:ascii="仿宋" w:hAnsi="仿宋" w:eastAsia="仿宋" w:cs="仿宋_GB2312"/>
          <w:sz w:val="32"/>
          <w:szCs w:val="32"/>
        </w:rPr>
        <w:t>年初预算为0.78万元，支出决算为0.68万元，完成年初预算的87.18%。决算数与年初预算数存在差异的主要原因是人员变动。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一般公共预算财政拨款基本支出149.72万元。其中：人员经费131.69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18.03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2018年度“三公”经费财政拨款支出预算为0.065万元，支出决算为0万元。2018年度“三公”经费支出决算数与预算数存在差异的主要原因是经费压缩。</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2018年度“三公”经费财政拨款支出决算中，公务接待费支出决算0万元。</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具体情况如下：</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1．因公出国（境）费</w:t>
      </w:r>
      <w:r>
        <w:rPr>
          <w:rFonts w:hint="eastAsia" w:ascii="仿宋" w:hAnsi="仿宋" w:eastAsia="仿宋" w:cs="仿宋_GB2312"/>
          <w:sz w:val="32"/>
          <w:szCs w:val="32"/>
        </w:rPr>
        <w:t>年初预算为0万元，支出决算为0万元，完成年初预算的0%。</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2．公务用车购置及运行费</w:t>
      </w:r>
      <w:r>
        <w:rPr>
          <w:rFonts w:hint="eastAsia" w:ascii="仿宋" w:hAnsi="仿宋" w:eastAsia="仿宋" w:cs="仿宋_GB2312"/>
          <w:sz w:val="32"/>
          <w:szCs w:val="32"/>
        </w:rPr>
        <w:t>初预算为0万元，支出决算为0万元，完成年初预算的0%。</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3.公务接待费</w:t>
      </w:r>
      <w:r>
        <w:rPr>
          <w:rFonts w:hint="eastAsia" w:ascii="仿宋" w:hAnsi="仿宋" w:eastAsia="仿宋" w:cs="仿宋_GB2312"/>
          <w:sz w:val="32"/>
          <w:szCs w:val="32"/>
        </w:rPr>
        <w:t>初预算为0.065万元，支出决算为0万元。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w:t>
      </w:r>
      <w:r>
        <w:rPr>
          <w:rFonts w:ascii="仿宋" w:eastAsia="仿宋" w:cs="仿宋"/>
          <w:sz w:val="32"/>
          <w:szCs w:val="32"/>
        </w:rPr>
        <w:t>1</w:t>
      </w:r>
      <w:r>
        <w:rPr>
          <w:rFonts w:hint="eastAsia" w:ascii="仿宋" w:eastAsia="仿宋" w:cs="仿宋"/>
          <w:sz w:val="32"/>
          <w:szCs w:val="32"/>
        </w:rPr>
        <w:t>）完善制度，筑牢预算绩效管理工作根基。</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w:t>
      </w:r>
      <w:r>
        <w:rPr>
          <w:rFonts w:ascii="仿宋" w:eastAsia="仿宋" w:cs="仿宋"/>
          <w:sz w:val="32"/>
          <w:szCs w:val="32"/>
        </w:rPr>
        <w:t>2</w:t>
      </w:r>
      <w:r>
        <w:rPr>
          <w:rFonts w:hint="eastAsia" w:ascii="仿宋" w:eastAsia="仿宋" w:cs="仿宋"/>
          <w:sz w:val="32"/>
          <w:szCs w:val="32"/>
        </w:rPr>
        <w:t>）系统联动，凝聚推进预算绩效管理工作合力。</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w:t>
      </w:r>
      <w:r>
        <w:rPr>
          <w:rFonts w:ascii="仿宋" w:eastAsia="仿宋" w:cs="仿宋"/>
          <w:sz w:val="32"/>
          <w:szCs w:val="32"/>
        </w:rPr>
        <w:t>3</w:t>
      </w:r>
      <w:r>
        <w:rPr>
          <w:rFonts w:hint="eastAsia" w:ascii="仿宋" w:eastAsia="仿宋" w:cs="仿宋"/>
          <w:sz w:val="32"/>
          <w:szCs w:val="32"/>
        </w:rPr>
        <w:t>）稳步推进，认真实施部门整体支出绩效评价。</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w:t>
      </w:r>
      <w:r>
        <w:rPr>
          <w:rFonts w:ascii="仿宋" w:eastAsia="仿宋" w:cs="仿宋"/>
          <w:sz w:val="32"/>
          <w:szCs w:val="32"/>
        </w:rPr>
        <w:t>4</w:t>
      </w:r>
      <w:r>
        <w:rPr>
          <w:rFonts w:hint="eastAsia" w:ascii="仿宋" w:eastAsia="仿宋" w:cs="仿宋"/>
          <w:sz w:val="32"/>
          <w:szCs w:val="32"/>
        </w:rPr>
        <w:t>）深入拓展，牢固树立大绩效理念。</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我单位没有项目支出</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（三）以部门为主体开展的重点绩效评价结果。</w:t>
      </w:r>
    </w:p>
    <w:p>
      <w:pPr>
        <w:autoSpaceDE w:val="0"/>
        <w:autoSpaceDN w:val="0"/>
        <w:adjustRightInd w:val="0"/>
        <w:ind w:firstLine="640"/>
        <w:jc w:val="left"/>
        <w:rPr>
          <w:rFonts w:ascii="仿宋" w:eastAsia="仿宋" w:cs="仿宋"/>
          <w:sz w:val="32"/>
          <w:szCs w:val="32"/>
        </w:rPr>
      </w:pPr>
      <w:r>
        <w:rPr>
          <w:rFonts w:hint="eastAsia" w:ascii="仿宋" w:eastAsia="仿宋" w:cs="仿宋"/>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我单位没有政府性基金预算财政拨款</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default" w:ascii="仿宋_GB2312" w:hAnsi="仿宋_GB2312" w:eastAsia="仿宋" w:cs="仿宋_GB2312"/>
          <w:sz w:val="32"/>
          <w:szCs w:val="32"/>
          <w:lang w:val="en-US" w:eastAsia="zh-CN"/>
        </w:rPr>
      </w:pPr>
      <w:r>
        <w:rPr>
          <w:rFonts w:hint="eastAsia" w:ascii="仿宋_GB2312" w:hAnsi="仿宋_GB2312" w:eastAsia="仿宋_GB2312" w:cs="仿宋_GB2312"/>
          <w:sz w:val="32"/>
          <w:szCs w:val="32"/>
        </w:rPr>
        <w:t>2018年度机关运行经费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初预算为37.68万元，支出决算为18.03万元，完成年初预算的47.6%。决算数与年初预算数存在差异的主要原因是财政拨款收回。</w:t>
      </w:r>
      <w:r>
        <w:rPr>
          <w:rFonts w:hint="eastAsia" w:ascii="仿宋" w:eastAsia="仿宋" w:cs="仿宋"/>
          <w:sz w:val="32"/>
          <w:szCs w:val="32"/>
          <w:lang w:val="zh-CN"/>
        </w:rPr>
        <w:t>较</w:t>
      </w:r>
      <w:r>
        <w:rPr>
          <w:rFonts w:ascii="仿宋" w:eastAsia="仿宋" w:cs="仿宋"/>
          <w:sz w:val="32"/>
          <w:szCs w:val="32"/>
          <w:lang w:val="zh-CN"/>
        </w:rPr>
        <w:t>201</w:t>
      </w:r>
      <w:r>
        <w:rPr>
          <w:rFonts w:hint="eastAsia" w:ascii="仿宋" w:eastAsia="仿宋" w:cs="仿宋"/>
          <w:sz w:val="32"/>
          <w:szCs w:val="32"/>
          <w:lang w:val="en-US" w:eastAsia="zh-CN"/>
        </w:rPr>
        <w:t>7</w:t>
      </w:r>
      <w:r>
        <w:rPr>
          <w:rFonts w:hint="eastAsia" w:ascii="仿宋" w:eastAsia="仿宋" w:cs="仿宋"/>
          <w:sz w:val="32"/>
          <w:szCs w:val="32"/>
          <w:lang w:val="zh-CN"/>
        </w:rPr>
        <w:t>年度</w:t>
      </w:r>
      <w:r>
        <w:rPr>
          <w:rFonts w:hint="eastAsia" w:ascii="仿宋" w:eastAsia="仿宋" w:cs="仿宋"/>
          <w:sz w:val="32"/>
          <w:szCs w:val="32"/>
          <w:lang w:val="en-US" w:eastAsia="zh-CN"/>
        </w:rPr>
        <w:t>23.23</w:t>
      </w:r>
      <w:r>
        <w:rPr>
          <w:rFonts w:hint="eastAsia" w:ascii="仿宋" w:eastAsia="仿宋" w:cs="仿宋"/>
          <w:sz w:val="32"/>
          <w:szCs w:val="32"/>
          <w:lang w:val="zh-CN"/>
        </w:rPr>
        <w:t>万元，减少了</w:t>
      </w:r>
      <w:r>
        <w:rPr>
          <w:rFonts w:hint="eastAsia" w:ascii="仿宋" w:eastAsia="仿宋" w:cs="仿宋"/>
          <w:sz w:val="32"/>
          <w:szCs w:val="32"/>
          <w:lang w:val="en-US" w:eastAsia="zh-CN"/>
        </w:rPr>
        <w:t>22.4</w:t>
      </w:r>
      <w:r>
        <w:rPr>
          <w:rFonts w:ascii="仿宋" w:eastAsia="仿宋" w:cs="仿宋"/>
          <w:sz w:val="32"/>
          <w:szCs w:val="32"/>
          <w:lang w:val="zh-CN"/>
        </w:rPr>
        <w:t>%</w:t>
      </w:r>
      <w:r>
        <w:rPr>
          <w:rFonts w:hint="eastAsia" w:ascii="仿宋" w:eastAsia="仿宋" w:cs="仿宋"/>
          <w:sz w:val="32"/>
          <w:szCs w:val="32"/>
          <w:lang w:val="zh-CN"/>
        </w:rPr>
        <w:t>。主要原因是压减经费开支。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我单位没有政府采购支出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2018年期末，我部门共有车辆0辆，</w:t>
      </w:r>
      <w:r>
        <w:rPr>
          <w:rFonts w:hint="eastAsia" w:ascii="仿宋" w:eastAsia="仿宋"/>
          <w:sz w:val="32"/>
        </w:rPr>
        <w:t>其中：一般公务用车0辆;</w:t>
      </w:r>
      <w:r>
        <w:rPr>
          <w:rFonts w:hint="eastAsia" w:ascii="仿宋_GB2312" w:hAnsi="仿宋_GB2312" w:eastAsia="仿宋_GB2312" w:cs="仿宋_GB2312"/>
          <w:sz w:val="32"/>
          <w:szCs w:val="32"/>
        </w:rPr>
        <w:t>单位价值50万元以上通用设备0台（套），单位价值100万元以上专用设备0台（套）。</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6C1B"/>
    <w:rsid w:val="0003189D"/>
    <w:rsid w:val="00066D1F"/>
    <w:rsid w:val="000F7947"/>
    <w:rsid w:val="001368E3"/>
    <w:rsid w:val="002D6F51"/>
    <w:rsid w:val="00371CDE"/>
    <w:rsid w:val="00411EAE"/>
    <w:rsid w:val="0056126F"/>
    <w:rsid w:val="005F7C19"/>
    <w:rsid w:val="006B7822"/>
    <w:rsid w:val="006D4695"/>
    <w:rsid w:val="007368EB"/>
    <w:rsid w:val="007B1A8D"/>
    <w:rsid w:val="007D4B30"/>
    <w:rsid w:val="007E4D64"/>
    <w:rsid w:val="00821D22"/>
    <w:rsid w:val="008A41E3"/>
    <w:rsid w:val="00A7313E"/>
    <w:rsid w:val="00AD37C2"/>
    <w:rsid w:val="00B62205"/>
    <w:rsid w:val="00B96C1B"/>
    <w:rsid w:val="00BA7CBD"/>
    <w:rsid w:val="00C53B80"/>
    <w:rsid w:val="00CF7CD9"/>
    <w:rsid w:val="00D441AE"/>
    <w:rsid w:val="00F17E17"/>
    <w:rsid w:val="00F87C76"/>
    <w:rsid w:val="00F92999"/>
    <w:rsid w:val="00FA1A3B"/>
    <w:rsid w:val="10997D11"/>
    <w:rsid w:val="196162FE"/>
    <w:rsid w:val="1D622F8F"/>
    <w:rsid w:val="22DF67CC"/>
    <w:rsid w:val="702E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B577C-8657-4CE2-9359-735877B1050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628</Words>
  <Characters>3583</Characters>
  <Lines>29</Lines>
  <Paragraphs>8</Paragraphs>
  <TotalTime>3</TotalTime>
  <ScaleCrop>false</ScaleCrop>
  <LinksUpToDate>false</LinksUpToDate>
  <CharactersWithSpaces>4203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2019-10-09T01:44:00Z</dcterms:created>
  <dc:creator>档案局（王杏娟）</dc:creator>
  <cp:lastModifiedBy>Administrator</cp:lastModifiedBy>
  <dcterms:modified xsi:type="dcterms:W3CDTF">2021-06-07T08:01:25Z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5E566464F6BF4CA58EC8B309241F8E54</vt:lpwstr>
  </property>
</Properties>
</file>